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57866" w14:textId="77777777" w:rsidR="00D4742B" w:rsidRDefault="00D4742B" w:rsidP="00D4742B">
      <w:pPr>
        <w:spacing w:before="2" w:line="100" w:lineRule="exact"/>
        <w:rPr>
          <w:sz w:val="10"/>
          <w:szCs w:val="10"/>
        </w:rPr>
      </w:pPr>
      <w:r>
        <w:rPr>
          <w:noProof/>
          <w:sz w:val="10"/>
          <w:szCs w:val="10"/>
          <w:lang w:eastAsia="en-GB"/>
        </w:rPr>
        <w:drawing>
          <wp:anchor distT="0" distB="0" distL="114300" distR="114300" simplePos="0" relativeHeight="251673600" behindDoc="0" locked="0" layoutInCell="1" allowOverlap="1" wp14:anchorId="5BF029D8" wp14:editId="27822733">
            <wp:simplePos x="0" y="0"/>
            <wp:positionH relativeFrom="column">
              <wp:posOffset>36398</wp:posOffset>
            </wp:positionH>
            <wp:positionV relativeFrom="paragraph">
              <wp:posOffset>-759866</wp:posOffset>
            </wp:positionV>
            <wp:extent cx="31536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3600" cy="820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43904" behindDoc="1" locked="0" layoutInCell="1" allowOverlap="1" wp14:anchorId="4726A04D" wp14:editId="2FE07C78">
            <wp:simplePos x="0" y="0"/>
            <wp:positionH relativeFrom="page">
              <wp:posOffset>0</wp:posOffset>
            </wp:positionH>
            <wp:positionV relativeFrom="page">
              <wp:posOffset>1905</wp:posOffset>
            </wp:positionV>
            <wp:extent cx="7556500" cy="94996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9499600"/>
                    </a:xfrm>
                    <a:prstGeom prst="rect">
                      <a:avLst/>
                    </a:prstGeom>
                    <a:noFill/>
                  </pic:spPr>
                </pic:pic>
              </a:graphicData>
            </a:graphic>
            <wp14:sizeRelH relativeFrom="page">
              <wp14:pctWidth>0</wp14:pctWidth>
            </wp14:sizeRelH>
            <wp14:sizeRelV relativeFrom="page">
              <wp14:pctHeight>0</wp14:pctHeight>
            </wp14:sizeRelV>
          </wp:anchor>
        </w:drawing>
      </w:r>
    </w:p>
    <w:p w14:paraId="30A893C8" w14:textId="77777777" w:rsidR="00D4742B" w:rsidRDefault="00D4742B" w:rsidP="00D4742B">
      <w:pPr>
        <w:spacing w:line="200" w:lineRule="exact"/>
        <w:rPr>
          <w:sz w:val="20"/>
          <w:szCs w:val="20"/>
        </w:rPr>
      </w:pPr>
    </w:p>
    <w:p w14:paraId="4E3A385F" w14:textId="77777777" w:rsidR="00D4742B" w:rsidRDefault="00D4742B" w:rsidP="00D4742B">
      <w:pPr>
        <w:spacing w:line="200" w:lineRule="exact"/>
        <w:rPr>
          <w:sz w:val="20"/>
          <w:szCs w:val="20"/>
        </w:rPr>
      </w:pPr>
    </w:p>
    <w:p w14:paraId="2A9170C0" w14:textId="77777777" w:rsidR="00D4742B" w:rsidRDefault="00D4742B" w:rsidP="00D4742B">
      <w:pPr>
        <w:spacing w:line="200" w:lineRule="exact"/>
        <w:rPr>
          <w:sz w:val="20"/>
          <w:szCs w:val="20"/>
        </w:rPr>
      </w:pPr>
    </w:p>
    <w:p w14:paraId="289F403B" w14:textId="77777777" w:rsidR="00D4742B" w:rsidRPr="005C1AA0" w:rsidRDefault="00D4742B" w:rsidP="00D4742B"/>
    <w:p w14:paraId="006FE00B" w14:textId="77777777" w:rsidR="00D4742B" w:rsidRPr="005C1AA0" w:rsidRDefault="00D4742B" w:rsidP="00D4742B"/>
    <w:p w14:paraId="5EF2B9D8" w14:textId="77777777" w:rsidR="00D4742B" w:rsidRPr="005C1AA0" w:rsidRDefault="00D4742B" w:rsidP="00D4742B"/>
    <w:p w14:paraId="20D087FC" w14:textId="77777777" w:rsidR="00D4742B" w:rsidRPr="005C1AA0" w:rsidRDefault="00D4742B" w:rsidP="00D4742B"/>
    <w:p w14:paraId="7AFD9ECB" w14:textId="77777777" w:rsidR="00D4742B" w:rsidRPr="005C1AA0" w:rsidRDefault="00D4742B" w:rsidP="00D4742B"/>
    <w:p w14:paraId="6EC1C030" w14:textId="77777777" w:rsidR="00D4742B" w:rsidRPr="005C1AA0" w:rsidRDefault="00D4742B" w:rsidP="00D4742B"/>
    <w:p w14:paraId="19F6E7C0" w14:textId="77777777" w:rsidR="00D4742B" w:rsidRPr="005C1AA0" w:rsidRDefault="00D4742B" w:rsidP="00D4742B"/>
    <w:p w14:paraId="30258366" w14:textId="77777777" w:rsidR="00D4742B" w:rsidRPr="005C1AA0" w:rsidRDefault="00D4742B" w:rsidP="00D4742B"/>
    <w:p w14:paraId="2A2EA0F2" w14:textId="77777777" w:rsidR="00D4742B" w:rsidRPr="005C1AA0" w:rsidRDefault="00D4742B" w:rsidP="00D4742B"/>
    <w:p w14:paraId="59E122ED" w14:textId="77777777" w:rsidR="00D4742B" w:rsidRPr="005C1AA0" w:rsidRDefault="00D4742B" w:rsidP="00D4742B"/>
    <w:p w14:paraId="2D05D516" w14:textId="77777777" w:rsidR="00D4742B" w:rsidRPr="005C1AA0" w:rsidRDefault="00D4742B" w:rsidP="00D4742B"/>
    <w:p w14:paraId="53CC718D" w14:textId="77777777" w:rsidR="00D4742B" w:rsidRPr="005C1AA0" w:rsidRDefault="00D4742B" w:rsidP="00D4742B"/>
    <w:p w14:paraId="652D0FC7" w14:textId="77777777" w:rsidR="00D4742B" w:rsidRPr="005C1AA0" w:rsidRDefault="00D4742B" w:rsidP="00D4742B"/>
    <w:p w14:paraId="0CC3322B" w14:textId="77777777" w:rsidR="00D4742B" w:rsidRPr="005C1AA0" w:rsidRDefault="00D4742B" w:rsidP="00D4742B"/>
    <w:p w14:paraId="37684C2D" w14:textId="77777777" w:rsidR="00D4742B" w:rsidRPr="005C1AA0" w:rsidRDefault="00D4742B" w:rsidP="00D4742B"/>
    <w:p w14:paraId="373F28CC" w14:textId="77777777" w:rsidR="00D4742B" w:rsidRPr="005C1AA0" w:rsidRDefault="00D4742B" w:rsidP="00D4742B"/>
    <w:p w14:paraId="0D0CFAC5" w14:textId="77777777" w:rsidR="00D4742B" w:rsidRPr="005C1AA0" w:rsidRDefault="00D4742B" w:rsidP="00D4742B"/>
    <w:p w14:paraId="45FD172E" w14:textId="77777777" w:rsidR="00D4742B" w:rsidRPr="005C1AA0" w:rsidRDefault="00D4742B" w:rsidP="00D4742B"/>
    <w:p w14:paraId="196F21B8" w14:textId="77777777" w:rsidR="00D4742B" w:rsidRPr="005C1AA0" w:rsidRDefault="00D4742B" w:rsidP="00D4742B"/>
    <w:p w14:paraId="576D59CC" w14:textId="77777777" w:rsidR="00D4742B" w:rsidRPr="005C1AA0" w:rsidRDefault="00D4742B" w:rsidP="00D4742B"/>
    <w:p w14:paraId="191ACBAA" w14:textId="77777777" w:rsidR="00147682" w:rsidRPr="00E8202F" w:rsidRDefault="00D4742B" w:rsidP="00147682">
      <w:pPr>
        <w:sectPr w:rsidR="00147682" w:rsidRPr="00E8202F" w:rsidSect="00147682">
          <w:headerReference w:type="default" r:id="rId10"/>
          <w:footerReference w:type="default" r:id="rId11"/>
          <w:pgSz w:w="11905" w:h="16840"/>
          <w:pgMar w:top="1580" w:right="1680" w:bottom="280" w:left="700" w:header="720" w:footer="720" w:gutter="0"/>
          <w:cols w:space="720"/>
          <w:titlePg/>
          <w:docGrid w:linePitch="299"/>
        </w:sectPr>
      </w:pPr>
      <w:r w:rsidRPr="00D4742B">
        <w:rPr>
          <w:noProof/>
          <w:sz w:val="32"/>
          <w:szCs w:val="32"/>
          <w:lang w:eastAsia="en-GB"/>
        </w:rPr>
        <mc:AlternateContent>
          <mc:Choice Requires="wps">
            <w:drawing>
              <wp:anchor distT="45720" distB="45720" distL="114300" distR="114300" simplePos="0" relativeHeight="251672576" behindDoc="0" locked="0" layoutInCell="1" allowOverlap="1" wp14:anchorId="5213E0E8" wp14:editId="5FA811E6">
                <wp:simplePos x="0" y="0"/>
                <wp:positionH relativeFrom="column">
                  <wp:posOffset>-444500</wp:posOffset>
                </wp:positionH>
                <wp:positionV relativeFrom="paragraph">
                  <wp:posOffset>893445</wp:posOffset>
                </wp:positionV>
                <wp:extent cx="7556500" cy="861060"/>
                <wp:effectExtent l="0" t="0" r="254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861060"/>
                        </a:xfrm>
                        <a:prstGeom prst="rect">
                          <a:avLst/>
                        </a:prstGeom>
                        <a:solidFill>
                          <a:srgbClr val="FFFFFF"/>
                        </a:solidFill>
                        <a:ln w="9525">
                          <a:solidFill>
                            <a:srgbClr val="000000"/>
                          </a:solidFill>
                          <a:miter lim="800000"/>
                          <a:headEnd/>
                          <a:tailEnd/>
                        </a:ln>
                      </wps:spPr>
                      <wps:txbx>
                        <w:txbxContent>
                          <w:p w14:paraId="1A97990C" w14:textId="250828BE" w:rsidR="002D2852" w:rsidRPr="00D4742B" w:rsidRDefault="002D2852" w:rsidP="00F43635">
                            <w:pPr>
                              <w:jc w:val="center"/>
                              <w:rPr>
                                <w:noProof/>
                                <w:sz w:val="32"/>
                                <w:szCs w:val="32"/>
                                <w:lang w:eastAsia="en-GB"/>
                              </w:rPr>
                            </w:pPr>
                            <w:r>
                              <w:rPr>
                                <w:noProof/>
                                <w:sz w:val="32"/>
                                <w:szCs w:val="32"/>
                                <w:lang w:eastAsia="en-GB"/>
                              </w:rPr>
                              <w:br/>
                              <w:t>2018 Civil Tender</w:t>
                            </w:r>
                            <w:r w:rsidR="00D416F1">
                              <w:rPr>
                                <w:noProof/>
                                <w:sz w:val="32"/>
                                <w:szCs w:val="32"/>
                                <w:lang w:eastAsia="en-GB"/>
                              </w:rPr>
                              <w:t xml:space="preserve"> Process</w:t>
                            </w:r>
                          </w:p>
                          <w:p w14:paraId="44D716B5" w14:textId="77777777" w:rsidR="002D2852" w:rsidRDefault="002D2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3E0E8" id="_x0000_t202" coordsize="21600,21600" o:spt="202" path="m,l,21600r21600,l21600,xe">
                <v:stroke joinstyle="miter"/>
                <v:path gradientshapeok="t" o:connecttype="rect"/>
              </v:shapetype>
              <v:shape id="Text Box 2" o:spid="_x0000_s1026" type="#_x0000_t202" style="position:absolute;margin-left:-35pt;margin-top:70.35pt;width:595pt;height:67.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WWIwIAAEY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">
                <v:textbox>
                  <w:txbxContent>
                    <w:p w14:paraId="1A97990C" w14:textId="250828BE" w:rsidR="002D2852" w:rsidRPr="00D4742B" w:rsidRDefault="002D2852" w:rsidP="00F43635">
                      <w:pPr>
                        <w:jc w:val="center"/>
                        <w:rPr>
                          <w:noProof/>
                          <w:sz w:val="32"/>
                          <w:szCs w:val="32"/>
                          <w:lang w:eastAsia="en-GB"/>
                        </w:rPr>
                      </w:pPr>
                      <w:r>
                        <w:rPr>
                          <w:noProof/>
                          <w:sz w:val="32"/>
                          <w:szCs w:val="32"/>
                          <w:lang w:eastAsia="en-GB"/>
                        </w:rPr>
                        <w:br/>
                        <w:t>2018 Civil Tender</w:t>
                      </w:r>
                      <w:r w:rsidR="00D416F1">
                        <w:rPr>
                          <w:noProof/>
                          <w:sz w:val="32"/>
                          <w:szCs w:val="32"/>
                          <w:lang w:eastAsia="en-GB"/>
                        </w:rPr>
                        <w:t xml:space="preserve"> Process</w:t>
                      </w:r>
                    </w:p>
                    <w:p w14:paraId="44D716B5" w14:textId="77777777" w:rsidR="002D2852" w:rsidRDefault="002D2852"/>
                  </w:txbxContent>
                </v:textbox>
                <w10:wrap type="square"/>
              </v:shape>
            </w:pict>
          </mc:Fallback>
        </mc:AlternateContent>
      </w:r>
    </w:p>
    <w:p w14:paraId="7B005994" w14:textId="12CCA175" w:rsidR="00A44AF0" w:rsidRDefault="00A44AF0" w:rsidP="00147682">
      <w:pPr>
        <w:pBdr>
          <w:bottom w:val="single" w:sz="6" w:space="1" w:color="auto"/>
        </w:pBdr>
      </w:pPr>
    </w:p>
    <w:p w14:paraId="19EB9909" w14:textId="77777777" w:rsidR="00147682" w:rsidRPr="008973B9" w:rsidRDefault="00147682" w:rsidP="00147682">
      <w:pPr>
        <w:pStyle w:val="NoSpacing"/>
        <w:rPr>
          <w:b/>
          <w:sz w:val="28"/>
        </w:rPr>
      </w:pPr>
      <w:r w:rsidRPr="008973B9">
        <w:rPr>
          <w:b/>
          <w:sz w:val="28"/>
        </w:rPr>
        <w:t>CONTENTS</w:t>
      </w:r>
    </w:p>
    <w:p w14:paraId="7E5AA557" w14:textId="77777777" w:rsidR="00147682" w:rsidRDefault="00147682" w:rsidP="00147682">
      <w:pPr>
        <w:pStyle w:val="NoSpacing"/>
      </w:pPr>
    </w:p>
    <w:p w14:paraId="7685E7D9" w14:textId="77777777" w:rsidR="008973B9" w:rsidRDefault="008973B9" w:rsidP="00147682">
      <w:pPr>
        <w:pStyle w:val="NoSpacing"/>
      </w:pPr>
    </w:p>
    <w:p w14:paraId="0A1C69BE" w14:textId="77777777" w:rsidR="00147682" w:rsidRDefault="007D7CE9" w:rsidP="00F71C5D">
      <w:pPr>
        <w:pStyle w:val="NoSpacing"/>
        <w:numPr>
          <w:ilvl w:val="0"/>
          <w:numId w:val="8"/>
        </w:numPr>
        <w:ind w:hanging="720"/>
        <w:rPr>
          <w:b/>
        </w:rPr>
      </w:pPr>
      <w:r>
        <w:rPr>
          <w:b/>
        </w:rPr>
        <w:t>Introduction</w:t>
      </w:r>
      <w:r w:rsidR="00147682">
        <w:rPr>
          <w:b/>
        </w:rPr>
        <w:tab/>
      </w:r>
    </w:p>
    <w:p w14:paraId="7F1165E0" w14:textId="77777777" w:rsidR="004226C6" w:rsidRDefault="004226C6" w:rsidP="00147682">
      <w:pPr>
        <w:pStyle w:val="NoSpacing"/>
        <w:ind w:left="720"/>
      </w:pPr>
    </w:p>
    <w:p w14:paraId="597E49FE" w14:textId="77777777" w:rsidR="00147682" w:rsidRDefault="00147682" w:rsidP="00147682">
      <w:pPr>
        <w:pStyle w:val="NoSpacing"/>
        <w:ind w:left="720"/>
        <w:rPr>
          <w:b/>
        </w:rPr>
      </w:pPr>
    </w:p>
    <w:p w14:paraId="5CE98CC8" w14:textId="77777777" w:rsidR="00147682" w:rsidRPr="00851DFC" w:rsidRDefault="0054794A" w:rsidP="00F71C5D">
      <w:pPr>
        <w:pStyle w:val="NoSpacing"/>
        <w:numPr>
          <w:ilvl w:val="0"/>
          <w:numId w:val="8"/>
        </w:numPr>
        <w:ind w:hanging="720"/>
        <w:rPr>
          <w:b/>
        </w:rPr>
      </w:pPr>
      <w:r>
        <w:rPr>
          <w:b/>
        </w:rPr>
        <w:t>What needs to be submitted</w:t>
      </w:r>
    </w:p>
    <w:p w14:paraId="06CAC9FF" w14:textId="77777777" w:rsidR="004226C6" w:rsidRDefault="004226C6" w:rsidP="00147682">
      <w:pPr>
        <w:pStyle w:val="NoSpacing"/>
        <w:ind w:left="720"/>
      </w:pPr>
    </w:p>
    <w:p w14:paraId="2CB40059" w14:textId="77777777" w:rsidR="009A4F21" w:rsidRDefault="009A4F21" w:rsidP="00147682">
      <w:pPr>
        <w:pStyle w:val="NoSpacing"/>
        <w:ind w:left="720"/>
      </w:pPr>
      <w:r>
        <w:t>Methods of submitting a response</w:t>
      </w:r>
    </w:p>
    <w:p w14:paraId="107E1F77" w14:textId="77777777" w:rsidR="003E43F6" w:rsidRDefault="003E43F6" w:rsidP="00147682">
      <w:pPr>
        <w:pStyle w:val="NoSpacing"/>
        <w:ind w:left="720"/>
      </w:pPr>
      <w:r>
        <w:t>Timetable</w:t>
      </w:r>
      <w:r w:rsidR="00CD1E22">
        <w:t xml:space="preserve"> &amp; Deadlines</w:t>
      </w:r>
    </w:p>
    <w:p w14:paraId="5189D67F" w14:textId="77777777" w:rsidR="003E43F6" w:rsidRDefault="003E43F6" w:rsidP="003E43F6">
      <w:pPr>
        <w:pStyle w:val="NoSpacing"/>
      </w:pPr>
    </w:p>
    <w:p w14:paraId="2FF69DCE" w14:textId="77777777" w:rsidR="00147682" w:rsidRDefault="00147682" w:rsidP="00147682">
      <w:pPr>
        <w:pStyle w:val="NoSpacing"/>
        <w:ind w:left="720"/>
      </w:pPr>
    </w:p>
    <w:p w14:paraId="2310AF3F" w14:textId="77777777" w:rsidR="003E43F6" w:rsidRPr="003E43F6" w:rsidRDefault="00147682" w:rsidP="003D7338">
      <w:pPr>
        <w:pStyle w:val="NoSpacing"/>
        <w:rPr>
          <w:b/>
        </w:rPr>
      </w:pPr>
      <w:r>
        <w:rPr>
          <w:b/>
        </w:rPr>
        <w:t>3.</w:t>
      </w:r>
      <w:r>
        <w:t xml:space="preserve"> </w:t>
      </w:r>
      <w:r>
        <w:tab/>
      </w:r>
      <w:r w:rsidR="003E43F6" w:rsidRPr="003E43F6">
        <w:rPr>
          <w:b/>
        </w:rPr>
        <w:t>How to successfully complete the tender</w:t>
      </w:r>
    </w:p>
    <w:p w14:paraId="521FBB55" w14:textId="77777777" w:rsidR="003E43F6" w:rsidRDefault="003E43F6" w:rsidP="003D7338">
      <w:pPr>
        <w:pStyle w:val="NoSpacing"/>
      </w:pPr>
    </w:p>
    <w:p w14:paraId="2662959B" w14:textId="77777777" w:rsidR="003E43F6" w:rsidRPr="003E43F6" w:rsidRDefault="003E43F6" w:rsidP="003E43F6">
      <w:pPr>
        <w:pStyle w:val="NoSpacing"/>
      </w:pPr>
      <w:r>
        <w:tab/>
      </w:r>
      <w:r w:rsidRPr="003E43F6">
        <w:t>Manage my profile</w:t>
      </w:r>
    </w:p>
    <w:p w14:paraId="2F121A1A" w14:textId="77777777" w:rsidR="003E43F6" w:rsidRPr="003E43F6" w:rsidRDefault="00CD1E22" w:rsidP="003E43F6">
      <w:pPr>
        <w:pStyle w:val="NoSpacing"/>
        <w:ind w:firstLine="720"/>
      </w:pPr>
      <w:r>
        <w:t>Selection Questionnaire</w:t>
      </w:r>
    </w:p>
    <w:p w14:paraId="64801329" w14:textId="5C2F0C26" w:rsidR="003E43F6" w:rsidRDefault="003E43F6" w:rsidP="003E43F6">
      <w:pPr>
        <w:pStyle w:val="NoSpacing"/>
        <w:ind w:firstLine="720"/>
      </w:pPr>
      <w:r w:rsidRPr="003E43F6">
        <w:t xml:space="preserve">Individual </w:t>
      </w:r>
      <w:r w:rsidR="00CD1E22">
        <w:t xml:space="preserve">bid </w:t>
      </w:r>
      <w:r w:rsidRPr="003E43F6">
        <w:t>ITT</w:t>
      </w:r>
      <w:r w:rsidR="00CD1E22">
        <w:t xml:space="preserve"> and Delivery Plans</w:t>
      </w:r>
    </w:p>
    <w:p w14:paraId="13F1EA0B" w14:textId="748EAEBE" w:rsidR="00B409A1" w:rsidRDefault="00B409A1" w:rsidP="003E43F6">
      <w:pPr>
        <w:pStyle w:val="NoSpacing"/>
        <w:ind w:firstLine="720"/>
      </w:pPr>
      <w:r>
        <w:t>Marking the Delivery Plan</w:t>
      </w:r>
    </w:p>
    <w:p w14:paraId="206C032F" w14:textId="77777777" w:rsidR="004226C6" w:rsidRDefault="004226C6" w:rsidP="00CD1E22">
      <w:pPr>
        <w:pStyle w:val="NoSpacing"/>
      </w:pPr>
    </w:p>
    <w:p w14:paraId="6AC2DC24" w14:textId="77777777" w:rsidR="004226C6" w:rsidRDefault="004226C6" w:rsidP="004226C6">
      <w:pPr>
        <w:pStyle w:val="NoSpacing"/>
      </w:pPr>
    </w:p>
    <w:p w14:paraId="50844883" w14:textId="77777777" w:rsidR="003E43F6" w:rsidRDefault="00E14FFE" w:rsidP="00147682">
      <w:pPr>
        <w:pStyle w:val="NoSpacing"/>
        <w:rPr>
          <w:b/>
        </w:rPr>
      </w:pPr>
      <w:r>
        <w:rPr>
          <w:b/>
        </w:rPr>
        <w:t>4</w:t>
      </w:r>
      <w:r w:rsidR="00147682">
        <w:rPr>
          <w:b/>
        </w:rPr>
        <w:t>.</w:t>
      </w:r>
      <w:r w:rsidR="00147682">
        <w:rPr>
          <w:b/>
        </w:rPr>
        <w:tab/>
      </w:r>
      <w:r w:rsidR="003E43F6">
        <w:rPr>
          <w:b/>
        </w:rPr>
        <w:t>Verification requirements</w:t>
      </w:r>
    </w:p>
    <w:p w14:paraId="7DDEB7F5" w14:textId="77777777" w:rsidR="003E43F6" w:rsidRDefault="003E43F6" w:rsidP="00147682">
      <w:pPr>
        <w:pStyle w:val="NoSpacing"/>
        <w:rPr>
          <w:b/>
        </w:rPr>
      </w:pPr>
    </w:p>
    <w:p w14:paraId="64442132" w14:textId="77777777" w:rsidR="00CD1E22" w:rsidRPr="00CD1E22" w:rsidRDefault="00CD1E22" w:rsidP="00CD1E22">
      <w:pPr>
        <w:pStyle w:val="NoSpacing"/>
        <w:ind w:firstLine="720"/>
        <w:rPr>
          <w:lang w:val="en-GB"/>
        </w:rPr>
      </w:pPr>
      <w:r w:rsidRPr="00CD1E22">
        <w:rPr>
          <w:lang w:val="en-GB"/>
        </w:rPr>
        <w:t>Supervisor Forms</w:t>
      </w:r>
    </w:p>
    <w:p w14:paraId="24BA6A49" w14:textId="77777777" w:rsidR="00CD1E22" w:rsidRPr="00CD1E22" w:rsidRDefault="00CD1E22" w:rsidP="00CD1E22">
      <w:pPr>
        <w:pStyle w:val="NoSpacing"/>
        <w:ind w:firstLine="720"/>
        <w:rPr>
          <w:lang w:val="en-GB"/>
        </w:rPr>
      </w:pPr>
      <w:r w:rsidRPr="00CD1E22">
        <w:rPr>
          <w:lang w:val="en-GB"/>
        </w:rPr>
        <w:t>Indemnity Form</w:t>
      </w:r>
    </w:p>
    <w:p w14:paraId="1E8C344F" w14:textId="77777777" w:rsidR="00CD1E22" w:rsidRPr="00CD1E22" w:rsidRDefault="00CD1E22" w:rsidP="00CD1E22">
      <w:pPr>
        <w:pStyle w:val="NoSpacing"/>
        <w:ind w:firstLine="720"/>
        <w:rPr>
          <w:lang w:val="en-GB"/>
        </w:rPr>
      </w:pPr>
      <w:r w:rsidRPr="00CD1E22">
        <w:rPr>
          <w:lang w:val="en-GB"/>
        </w:rPr>
        <w:t>SQM or Lexcel certificate</w:t>
      </w:r>
    </w:p>
    <w:p w14:paraId="03BF809C" w14:textId="77777777" w:rsidR="003E43F6" w:rsidRDefault="003E43F6" w:rsidP="00147682">
      <w:pPr>
        <w:pStyle w:val="NoSpacing"/>
        <w:rPr>
          <w:b/>
        </w:rPr>
      </w:pPr>
    </w:p>
    <w:p w14:paraId="64B5A634" w14:textId="77777777" w:rsidR="00CD1E22" w:rsidRDefault="00CD1E22" w:rsidP="00147682">
      <w:pPr>
        <w:pStyle w:val="NoSpacing"/>
        <w:rPr>
          <w:b/>
        </w:rPr>
      </w:pPr>
    </w:p>
    <w:p w14:paraId="27B60850" w14:textId="77777777" w:rsidR="007D11C9" w:rsidRDefault="00CD1E22" w:rsidP="00147682">
      <w:pPr>
        <w:pStyle w:val="NoSpacing"/>
        <w:rPr>
          <w:b/>
        </w:rPr>
      </w:pPr>
      <w:r>
        <w:rPr>
          <w:b/>
        </w:rPr>
        <w:t xml:space="preserve">5. </w:t>
      </w:r>
      <w:r>
        <w:rPr>
          <w:b/>
        </w:rPr>
        <w:tab/>
      </w:r>
      <w:r w:rsidR="007D11C9">
        <w:rPr>
          <w:b/>
        </w:rPr>
        <w:t>Submitting the Bid – Some Tips</w:t>
      </w:r>
    </w:p>
    <w:p w14:paraId="0D699C5D" w14:textId="77777777" w:rsidR="00F43635" w:rsidRDefault="00F43635" w:rsidP="00147682">
      <w:pPr>
        <w:pStyle w:val="NoSpacing"/>
        <w:rPr>
          <w:b/>
        </w:rPr>
      </w:pPr>
    </w:p>
    <w:p w14:paraId="27A05136" w14:textId="77777777" w:rsidR="008973B9" w:rsidRDefault="008973B9" w:rsidP="00CE661D">
      <w:pPr>
        <w:pStyle w:val="NoSpacing"/>
        <w:rPr>
          <w:b/>
        </w:rPr>
      </w:pPr>
    </w:p>
    <w:p w14:paraId="4C584BA6" w14:textId="77777777" w:rsidR="00CD1E22" w:rsidRDefault="00CD1E22" w:rsidP="00CD1E22">
      <w:pPr>
        <w:pStyle w:val="NoSpacing"/>
        <w:ind w:left="720" w:hanging="720"/>
        <w:rPr>
          <w:b/>
          <w:lang w:val="en-GB"/>
        </w:rPr>
      </w:pPr>
      <w:r>
        <w:rPr>
          <w:b/>
        </w:rPr>
        <w:t>6</w:t>
      </w:r>
      <w:r w:rsidR="00E14FFE">
        <w:rPr>
          <w:b/>
        </w:rPr>
        <w:t>.</w:t>
      </w:r>
      <w:r w:rsidR="008973B9">
        <w:rPr>
          <w:b/>
        </w:rPr>
        <w:tab/>
      </w:r>
      <w:r w:rsidR="00F43635">
        <w:rPr>
          <w:b/>
        </w:rPr>
        <w:t xml:space="preserve">Annex 1 </w:t>
      </w:r>
      <w:r w:rsidR="008973B9">
        <w:rPr>
          <w:b/>
        </w:rPr>
        <w:t>–</w:t>
      </w:r>
      <w:r w:rsidR="00F43635">
        <w:rPr>
          <w:b/>
        </w:rPr>
        <w:t xml:space="preserve"> </w:t>
      </w:r>
      <w:r>
        <w:rPr>
          <w:b/>
          <w:lang w:val="en-GB"/>
        </w:rPr>
        <w:t>S</w:t>
      </w:r>
      <w:r w:rsidRPr="00CD1E22">
        <w:rPr>
          <w:b/>
          <w:lang w:val="en-GB"/>
        </w:rPr>
        <w:t xml:space="preserve">ummary of </w:t>
      </w:r>
      <w:r>
        <w:rPr>
          <w:b/>
          <w:lang w:val="en-GB"/>
        </w:rPr>
        <w:t xml:space="preserve">ITT information for applicants document </w:t>
      </w:r>
    </w:p>
    <w:p w14:paraId="725B00A2" w14:textId="381224C3" w:rsidR="00CB6C18" w:rsidRDefault="00CB6C18" w:rsidP="00CD1E22">
      <w:pPr>
        <w:pStyle w:val="NoSpacing"/>
        <w:ind w:left="720" w:hanging="720"/>
        <w:rPr>
          <w:b/>
          <w:lang w:val="en-GB"/>
        </w:rPr>
      </w:pPr>
    </w:p>
    <w:p w14:paraId="2B1910F4" w14:textId="77777777" w:rsidR="00FD7495" w:rsidRDefault="00FD7495" w:rsidP="00CD1E22">
      <w:pPr>
        <w:pStyle w:val="NoSpacing"/>
        <w:ind w:left="720" w:hanging="720"/>
        <w:rPr>
          <w:b/>
          <w:lang w:val="en-GB"/>
        </w:rPr>
      </w:pPr>
    </w:p>
    <w:p w14:paraId="2834452F" w14:textId="77777777" w:rsidR="00CB6C18" w:rsidRDefault="00CB6C18" w:rsidP="00CD1E22">
      <w:pPr>
        <w:pStyle w:val="NoSpacing"/>
        <w:ind w:left="720" w:hanging="720"/>
        <w:rPr>
          <w:b/>
          <w:lang w:val="en-GB"/>
        </w:rPr>
      </w:pPr>
      <w:r>
        <w:rPr>
          <w:b/>
          <w:lang w:val="en-GB"/>
        </w:rPr>
        <w:t>7.</w:t>
      </w:r>
      <w:r>
        <w:rPr>
          <w:b/>
          <w:lang w:val="en-GB"/>
        </w:rPr>
        <w:tab/>
        <w:t xml:space="preserve">Annex 2 – Matter </w:t>
      </w:r>
      <w:r w:rsidR="001E2DF7">
        <w:rPr>
          <w:b/>
          <w:lang w:val="en-GB"/>
        </w:rPr>
        <w:t>start lots table</w:t>
      </w:r>
    </w:p>
    <w:p w14:paraId="784ED923" w14:textId="28A43345" w:rsidR="00CB6C18" w:rsidRDefault="00CB6C18" w:rsidP="00CD1E22">
      <w:pPr>
        <w:pStyle w:val="NoSpacing"/>
        <w:ind w:left="720" w:hanging="720"/>
        <w:rPr>
          <w:b/>
          <w:lang w:val="en-GB"/>
        </w:rPr>
      </w:pPr>
    </w:p>
    <w:p w14:paraId="3E4FA1CD" w14:textId="77777777" w:rsidR="00FD7495" w:rsidRDefault="00FD7495" w:rsidP="00CD1E22">
      <w:pPr>
        <w:pStyle w:val="NoSpacing"/>
        <w:ind w:left="720" w:hanging="720"/>
        <w:rPr>
          <w:b/>
          <w:lang w:val="en-GB"/>
        </w:rPr>
      </w:pPr>
    </w:p>
    <w:p w14:paraId="03ED1558" w14:textId="11C42C7C" w:rsidR="00CB6C18" w:rsidRPr="00CD1E22" w:rsidRDefault="00CB6C18" w:rsidP="00CD1E22">
      <w:pPr>
        <w:pStyle w:val="NoSpacing"/>
        <w:ind w:left="720" w:hanging="720"/>
        <w:rPr>
          <w:b/>
          <w:lang w:val="en-GB"/>
        </w:rPr>
      </w:pPr>
      <w:r>
        <w:rPr>
          <w:b/>
          <w:lang w:val="en-GB"/>
        </w:rPr>
        <w:t xml:space="preserve">8. </w:t>
      </w:r>
      <w:r>
        <w:rPr>
          <w:b/>
          <w:lang w:val="en-GB"/>
        </w:rPr>
        <w:tab/>
      </w:r>
      <w:r w:rsidR="00B409A1">
        <w:rPr>
          <w:b/>
          <w:lang w:val="en-GB"/>
        </w:rPr>
        <w:t>Annex</w:t>
      </w:r>
      <w:r w:rsidR="001E2DF7">
        <w:rPr>
          <w:b/>
          <w:lang w:val="en-GB"/>
        </w:rPr>
        <w:t xml:space="preserve"> 3 - </w:t>
      </w:r>
      <w:r>
        <w:rPr>
          <w:b/>
          <w:lang w:val="en-GB"/>
        </w:rPr>
        <w:t>Top tips from the LAA</w:t>
      </w:r>
    </w:p>
    <w:p w14:paraId="39588DBD" w14:textId="77777777" w:rsidR="00147682" w:rsidRDefault="00147682" w:rsidP="004226C6">
      <w:pPr>
        <w:pStyle w:val="NoSpacing"/>
        <w:rPr>
          <w:noProof/>
          <w:lang w:eastAsia="en-GB"/>
        </w:rPr>
      </w:pPr>
    </w:p>
    <w:p w14:paraId="15424B0D" w14:textId="77777777" w:rsidR="009F1ECA" w:rsidRDefault="009E6593" w:rsidP="00F43635">
      <w:pPr>
        <w:rPr>
          <w:noProof/>
          <w:lang w:eastAsia="en-GB"/>
        </w:rPr>
      </w:pPr>
      <w:r>
        <w:rPr>
          <w:noProof/>
          <w:lang w:eastAsia="en-GB"/>
        </w:rPr>
        <w:br w:type="page"/>
      </w:r>
    </w:p>
    <w:p w14:paraId="2B45FED3" w14:textId="77777777" w:rsidR="009F1ECA" w:rsidRPr="003C5237" w:rsidRDefault="009F1ECA" w:rsidP="009F1ECA">
      <w:pPr>
        <w:keepNext/>
        <w:shd w:val="clear" w:color="auto" w:fill="00B4CD"/>
        <w:spacing w:before="240" w:after="60"/>
        <w:jc w:val="center"/>
        <w:outlineLvl w:val="0"/>
        <w:rPr>
          <w:rFonts w:ascii="Cambria" w:hAnsi="Cambria"/>
          <w:b/>
          <w:bCs/>
          <w:color w:val="00B0F0"/>
          <w:kern w:val="32"/>
          <w:sz w:val="6"/>
          <w:szCs w:val="16"/>
        </w:rPr>
      </w:pPr>
    </w:p>
    <w:p w14:paraId="3C0A9F86" w14:textId="6A812E3B" w:rsidR="006D27AA" w:rsidRDefault="006D27AA" w:rsidP="007629A1">
      <w:pPr>
        <w:jc w:val="center"/>
        <w:rPr>
          <w:b/>
        </w:rPr>
      </w:pPr>
      <w:r>
        <w:rPr>
          <w:rFonts w:ascii="Calibri" w:hAnsi="Calibri"/>
          <w:b/>
          <w:sz w:val="28"/>
          <w:szCs w:val="28"/>
        </w:rPr>
        <w:t>INTRODUCTION</w:t>
      </w:r>
    </w:p>
    <w:p w14:paraId="7E96B2F0" w14:textId="78D778E1" w:rsidR="006D27AA" w:rsidRDefault="00B273A2" w:rsidP="007629A1">
      <w:pPr>
        <w:spacing w:after="0" w:line="240" w:lineRule="auto"/>
        <w:jc w:val="both"/>
      </w:pPr>
      <w:r>
        <w:t>Civil only providers will have had a few years away from the joys of legal aid tendering but crime providers have been through the mill over the past three years with two failed exercises – Price Competitive Tendering followed by separate</w:t>
      </w:r>
      <w:r w:rsidR="00C93E16">
        <w:t>ly</w:t>
      </w:r>
      <w:r>
        <w:t xml:space="preserve"> flawed ‘duty’ and ‘own’ solicitor tenders</w:t>
      </w:r>
      <w:r w:rsidR="00C93E16">
        <w:t xml:space="preserve"> – before </w:t>
      </w:r>
      <w:r>
        <w:t xml:space="preserve">settling on what appeared to be a fairly non-controversial tender. </w:t>
      </w:r>
      <w:r w:rsidR="00C93E16">
        <w:t xml:space="preserve"> That tender was in fact overly complicated and fraught with difficulties.</w:t>
      </w:r>
    </w:p>
    <w:p w14:paraId="765BAA87" w14:textId="77777777" w:rsidR="00F87B89" w:rsidRDefault="00F87B89" w:rsidP="007629A1">
      <w:pPr>
        <w:spacing w:after="0" w:line="240" w:lineRule="auto"/>
        <w:jc w:val="both"/>
      </w:pPr>
    </w:p>
    <w:p w14:paraId="35A9FB4C" w14:textId="7D453BB5" w:rsidR="00C93E16" w:rsidRDefault="00C93E16" w:rsidP="007629A1">
      <w:pPr>
        <w:spacing w:after="0" w:line="240" w:lineRule="auto"/>
        <w:jc w:val="both"/>
      </w:pPr>
      <w:r>
        <w:t xml:space="preserve">The current Civil tender appears to be relatively straight-forward but experience </w:t>
      </w:r>
      <w:r w:rsidR="005152DF">
        <w:t xml:space="preserve">has </w:t>
      </w:r>
      <w:r>
        <w:t xml:space="preserve">demonstrated the need to take </w:t>
      </w:r>
      <w:r w:rsidR="00F87B89">
        <w:t>extreme care as there are complexities and many ways in which something can go wrong.</w:t>
      </w:r>
      <w:r>
        <w:t xml:space="preserve"> </w:t>
      </w:r>
    </w:p>
    <w:p w14:paraId="551A6EFF" w14:textId="77777777" w:rsidR="00F87B89" w:rsidRDefault="00F87B89" w:rsidP="007629A1">
      <w:pPr>
        <w:spacing w:after="0" w:line="240" w:lineRule="auto"/>
        <w:jc w:val="both"/>
      </w:pPr>
    </w:p>
    <w:p w14:paraId="5B56D8D0" w14:textId="77777777" w:rsidR="00581CEE" w:rsidRDefault="00581CEE" w:rsidP="007629A1">
      <w:pPr>
        <w:spacing w:after="0" w:line="240" w:lineRule="auto"/>
        <w:jc w:val="both"/>
      </w:pPr>
      <w:r>
        <w:t>This guide will walk you through the</w:t>
      </w:r>
      <w:r w:rsidR="00D42FB8">
        <w:t xml:space="preserve"> Civil</w:t>
      </w:r>
      <w:r>
        <w:t xml:space="preserve"> tender and shall focus on:</w:t>
      </w:r>
    </w:p>
    <w:p w14:paraId="2DC89814" w14:textId="77777777" w:rsidR="00F87B89" w:rsidRDefault="00F87B89" w:rsidP="007629A1">
      <w:pPr>
        <w:spacing w:after="0" w:line="240" w:lineRule="auto"/>
        <w:jc w:val="both"/>
      </w:pPr>
    </w:p>
    <w:p w14:paraId="037EFC0E" w14:textId="77777777" w:rsidR="007D7CE9" w:rsidRDefault="0067065D" w:rsidP="007629A1">
      <w:pPr>
        <w:pStyle w:val="ListParagraph"/>
        <w:numPr>
          <w:ilvl w:val="0"/>
          <w:numId w:val="9"/>
        </w:numPr>
        <w:spacing w:after="0" w:line="240" w:lineRule="auto"/>
      </w:pPr>
      <w:r>
        <w:t>What needs to</w:t>
      </w:r>
      <w:r w:rsidR="007238D7">
        <w:t xml:space="preserve"> </w:t>
      </w:r>
      <w:r>
        <w:t>b</w:t>
      </w:r>
      <w:r w:rsidR="00D13B98">
        <w:t>e</w:t>
      </w:r>
      <w:r>
        <w:t xml:space="preserve"> s</w:t>
      </w:r>
      <w:r w:rsidR="007D7CE9">
        <w:t>ubmitted</w:t>
      </w:r>
    </w:p>
    <w:p w14:paraId="39984ED2" w14:textId="77777777" w:rsidR="000E71C9" w:rsidRDefault="000E71C9" w:rsidP="007629A1">
      <w:pPr>
        <w:pStyle w:val="ListParagraph"/>
        <w:spacing w:after="0" w:line="240" w:lineRule="auto"/>
      </w:pPr>
    </w:p>
    <w:p w14:paraId="2314AECC" w14:textId="77777777" w:rsidR="000E71C9" w:rsidRDefault="0067065D" w:rsidP="007629A1">
      <w:pPr>
        <w:pStyle w:val="ListParagraph"/>
        <w:numPr>
          <w:ilvl w:val="0"/>
          <w:numId w:val="9"/>
        </w:numPr>
        <w:spacing w:after="0" w:line="240" w:lineRule="auto"/>
      </w:pPr>
      <w:r>
        <w:t>How to successfully complete the t</w:t>
      </w:r>
      <w:r w:rsidR="007D7CE9" w:rsidRPr="007D7CE9">
        <w:t>ender</w:t>
      </w:r>
    </w:p>
    <w:p w14:paraId="6DA92E70" w14:textId="7FCBFCA8" w:rsidR="000E71C9" w:rsidRDefault="000E71C9" w:rsidP="00E43A57">
      <w:pPr>
        <w:spacing w:after="0" w:line="240" w:lineRule="auto"/>
      </w:pPr>
    </w:p>
    <w:p w14:paraId="0E677839" w14:textId="126BC653" w:rsidR="00581CEE" w:rsidRDefault="00934937" w:rsidP="007629A1">
      <w:pPr>
        <w:pStyle w:val="ListParagraph"/>
        <w:numPr>
          <w:ilvl w:val="0"/>
          <w:numId w:val="9"/>
        </w:numPr>
        <w:spacing w:after="0" w:line="240" w:lineRule="auto"/>
      </w:pPr>
      <w:r>
        <w:t>Understanding</w:t>
      </w:r>
      <w:r w:rsidR="00581CEE">
        <w:t xml:space="preserve"> </w:t>
      </w:r>
      <w:r>
        <w:t>the verification requirements</w:t>
      </w:r>
    </w:p>
    <w:p w14:paraId="327BEE29" w14:textId="77777777" w:rsidR="00F87B89" w:rsidRDefault="00F87B89" w:rsidP="007629A1">
      <w:pPr>
        <w:spacing w:after="0" w:line="240" w:lineRule="auto"/>
      </w:pPr>
    </w:p>
    <w:p w14:paraId="576C715C" w14:textId="77777777" w:rsidR="00581CEE" w:rsidRDefault="0067065D" w:rsidP="007629A1">
      <w:pPr>
        <w:pStyle w:val="ListParagraph"/>
        <w:numPr>
          <w:ilvl w:val="1"/>
          <w:numId w:val="9"/>
        </w:numPr>
        <w:spacing w:after="0" w:line="240" w:lineRule="auto"/>
        <w:jc w:val="both"/>
      </w:pPr>
      <w:r>
        <w:t>the supervisor f</w:t>
      </w:r>
      <w:r w:rsidR="00581CEE">
        <w:t>orms</w:t>
      </w:r>
    </w:p>
    <w:p w14:paraId="7645C7C9" w14:textId="77777777" w:rsidR="00581CEE" w:rsidRDefault="0067065D" w:rsidP="007629A1">
      <w:pPr>
        <w:pStyle w:val="ListParagraph"/>
        <w:numPr>
          <w:ilvl w:val="1"/>
          <w:numId w:val="9"/>
        </w:numPr>
        <w:spacing w:after="0" w:line="240" w:lineRule="auto"/>
        <w:jc w:val="both"/>
      </w:pPr>
      <w:r>
        <w:t>the indemnity f</w:t>
      </w:r>
      <w:r w:rsidR="00581CEE">
        <w:t>orm</w:t>
      </w:r>
    </w:p>
    <w:p w14:paraId="39084A26" w14:textId="4BA41DEA" w:rsidR="00D42FB8" w:rsidRDefault="00581CEE" w:rsidP="007629A1">
      <w:pPr>
        <w:pStyle w:val="ListParagraph"/>
        <w:numPr>
          <w:ilvl w:val="1"/>
          <w:numId w:val="9"/>
        </w:numPr>
        <w:spacing w:after="0" w:line="240" w:lineRule="auto"/>
        <w:jc w:val="both"/>
      </w:pPr>
      <w:r>
        <w:t>the SQM or Lexcel certificate</w:t>
      </w:r>
    </w:p>
    <w:p w14:paraId="0E1164A8" w14:textId="77777777" w:rsidR="00934937" w:rsidRDefault="00934937" w:rsidP="007629A1">
      <w:pPr>
        <w:spacing w:after="0" w:line="240" w:lineRule="auto"/>
        <w:jc w:val="both"/>
      </w:pPr>
    </w:p>
    <w:p w14:paraId="4C4F3422" w14:textId="77777777" w:rsidR="00D42FB8" w:rsidRDefault="00D42FB8" w:rsidP="007629A1">
      <w:pPr>
        <w:spacing w:after="0" w:line="240" w:lineRule="auto"/>
        <w:jc w:val="both"/>
      </w:pPr>
      <w:r>
        <w:t>For firms wishing to significantly increase the number of matter starts it</w:t>
      </w:r>
      <w:r w:rsidR="00934937">
        <w:t xml:space="preserve"> currently</w:t>
      </w:r>
      <w:r>
        <w:t xml:space="preserve"> delivers</w:t>
      </w:r>
      <w:r w:rsidR="00934937">
        <w:t>,</w:t>
      </w:r>
      <w:r>
        <w:t xml:space="preserve"> it will need to draft and submit a concise delivery plan. This will lead to questions about assessment and consistency of marking which we seek to address in this guide. </w:t>
      </w:r>
    </w:p>
    <w:p w14:paraId="158FD18C" w14:textId="77777777" w:rsidR="00351371" w:rsidRDefault="00351371" w:rsidP="007629A1">
      <w:pPr>
        <w:spacing w:after="0" w:line="240" w:lineRule="auto"/>
      </w:pPr>
    </w:p>
    <w:p w14:paraId="4966AF7E" w14:textId="77777777" w:rsidR="006D27AA" w:rsidRDefault="006D27AA"/>
    <w:p w14:paraId="03674121" w14:textId="77777777" w:rsidR="006D27AA" w:rsidRDefault="006D27AA"/>
    <w:p w14:paraId="2B3A45FD" w14:textId="77777777" w:rsidR="006D27AA" w:rsidRDefault="006D27AA"/>
    <w:p w14:paraId="759BBAD2" w14:textId="77777777" w:rsidR="0060177E" w:rsidRDefault="0060177E"/>
    <w:p w14:paraId="725B082A" w14:textId="77777777" w:rsidR="0060177E" w:rsidRDefault="0060177E"/>
    <w:p w14:paraId="29553975" w14:textId="487820C4" w:rsidR="0060177E" w:rsidRDefault="0060177E"/>
    <w:p w14:paraId="438DE5EE" w14:textId="2EEE917E" w:rsidR="00E43A57" w:rsidRDefault="00E43A57"/>
    <w:p w14:paraId="115068B1" w14:textId="77777777" w:rsidR="00E43A57" w:rsidRDefault="00E43A57"/>
    <w:p w14:paraId="4589FD45" w14:textId="77777777" w:rsidR="007D7CE9" w:rsidRDefault="007D7CE9"/>
    <w:p w14:paraId="59C609A5" w14:textId="77777777" w:rsidR="002173C4" w:rsidRDefault="002173C4"/>
    <w:p w14:paraId="1D6CE705" w14:textId="77777777" w:rsidR="00934937" w:rsidRDefault="00934937"/>
    <w:p w14:paraId="75E769C1" w14:textId="77777777" w:rsidR="002173C4" w:rsidRDefault="002173C4"/>
    <w:p w14:paraId="49D10121" w14:textId="77777777" w:rsidR="0067065D" w:rsidRPr="003C5237" w:rsidRDefault="0067065D" w:rsidP="0067065D">
      <w:pPr>
        <w:keepNext/>
        <w:shd w:val="clear" w:color="auto" w:fill="00B4CD"/>
        <w:spacing w:before="240" w:after="60"/>
        <w:jc w:val="center"/>
        <w:outlineLvl w:val="0"/>
        <w:rPr>
          <w:rFonts w:ascii="Cambria" w:hAnsi="Cambria"/>
          <w:b/>
          <w:bCs/>
          <w:color w:val="00B0F0"/>
          <w:kern w:val="32"/>
          <w:sz w:val="6"/>
          <w:szCs w:val="16"/>
        </w:rPr>
      </w:pPr>
    </w:p>
    <w:p w14:paraId="72253E1B" w14:textId="77777777" w:rsidR="007B6E1E" w:rsidRPr="0067065D" w:rsidRDefault="0067065D" w:rsidP="0067065D">
      <w:pPr>
        <w:jc w:val="center"/>
        <w:rPr>
          <w:b/>
          <w:sz w:val="24"/>
        </w:rPr>
      </w:pPr>
      <w:r>
        <w:rPr>
          <w:b/>
          <w:sz w:val="28"/>
        </w:rPr>
        <w:t>WHAT NEEDS TO BE SUBMITTED</w:t>
      </w:r>
    </w:p>
    <w:p w14:paraId="19CC79F6" w14:textId="77777777" w:rsidR="007B6E1E" w:rsidRPr="007B6E1E" w:rsidRDefault="007B6E1E" w:rsidP="00720FD4">
      <w:pPr>
        <w:pStyle w:val="Default"/>
        <w:jc w:val="both"/>
        <w:rPr>
          <w:rFonts w:asciiTheme="minorHAnsi" w:hAnsiTheme="minorHAnsi"/>
          <w:color w:val="0000FF"/>
          <w:sz w:val="22"/>
          <w:szCs w:val="22"/>
        </w:rPr>
      </w:pPr>
      <w:r w:rsidRPr="007B6E1E">
        <w:rPr>
          <w:rFonts w:asciiTheme="minorHAnsi" w:hAnsiTheme="minorHAnsi"/>
          <w:sz w:val="22"/>
          <w:szCs w:val="22"/>
        </w:rPr>
        <w:t xml:space="preserve">All Tenders must be completed and submitted using the Bravo </w:t>
      </w:r>
      <w:proofErr w:type="spellStart"/>
      <w:r w:rsidRPr="007B6E1E">
        <w:rPr>
          <w:rFonts w:asciiTheme="minorHAnsi" w:hAnsiTheme="minorHAnsi"/>
          <w:sz w:val="22"/>
          <w:szCs w:val="22"/>
        </w:rPr>
        <w:t>eTendering</w:t>
      </w:r>
      <w:proofErr w:type="spellEnd"/>
      <w:r w:rsidRPr="007B6E1E">
        <w:rPr>
          <w:rFonts w:asciiTheme="minorHAnsi" w:hAnsiTheme="minorHAnsi"/>
          <w:sz w:val="22"/>
          <w:szCs w:val="22"/>
        </w:rPr>
        <w:t xml:space="preserve"> system </w:t>
      </w:r>
      <w:r>
        <w:rPr>
          <w:rFonts w:asciiTheme="minorHAnsi" w:hAnsiTheme="minorHAnsi"/>
          <w:sz w:val="22"/>
          <w:szCs w:val="22"/>
        </w:rPr>
        <w:t xml:space="preserve">(Bravo Portal) </w:t>
      </w:r>
      <w:r w:rsidRPr="007B6E1E">
        <w:rPr>
          <w:rFonts w:asciiTheme="minorHAnsi" w:hAnsiTheme="minorHAnsi"/>
          <w:sz w:val="22"/>
          <w:szCs w:val="22"/>
        </w:rPr>
        <w:t xml:space="preserve">- </w:t>
      </w:r>
    </w:p>
    <w:p w14:paraId="546F986D" w14:textId="77777777" w:rsidR="00E31EA2" w:rsidRDefault="0038238C" w:rsidP="00720FD4">
      <w:pPr>
        <w:pStyle w:val="Default"/>
        <w:jc w:val="both"/>
        <w:rPr>
          <w:rFonts w:asciiTheme="minorHAnsi" w:hAnsiTheme="minorHAnsi"/>
          <w:color w:val="0000FF"/>
          <w:sz w:val="22"/>
          <w:szCs w:val="22"/>
        </w:rPr>
      </w:pPr>
      <w:hyperlink r:id="rId12" w:history="1">
        <w:r w:rsidR="00E31EA2" w:rsidRPr="00683D90">
          <w:rPr>
            <w:rStyle w:val="Hyperlink"/>
            <w:rFonts w:asciiTheme="minorHAnsi" w:hAnsiTheme="minorHAnsi"/>
            <w:sz w:val="22"/>
            <w:szCs w:val="22"/>
          </w:rPr>
          <w:t>https://legalaid.bravosolution.co.uk/web/login.shtml</w:t>
        </w:r>
      </w:hyperlink>
      <w:r w:rsidR="00E31EA2">
        <w:rPr>
          <w:rFonts w:asciiTheme="minorHAnsi" w:hAnsiTheme="minorHAnsi"/>
          <w:color w:val="0000FF"/>
          <w:sz w:val="22"/>
          <w:szCs w:val="22"/>
        </w:rPr>
        <w:t xml:space="preserve"> </w:t>
      </w:r>
    </w:p>
    <w:p w14:paraId="58376111" w14:textId="77777777" w:rsidR="0060177E" w:rsidRPr="007B6E1E" w:rsidRDefault="0060177E" w:rsidP="00720FD4">
      <w:pPr>
        <w:pStyle w:val="Default"/>
        <w:jc w:val="both"/>
        <w:rPr>
          <w:rFonts w:asciiTheme="minorHAnsi" w:hAnsiTheme="minorHAnsi"/>
          <w:color w:val="0000FF"/>
          <w:sz w:val="22"/>
          <w:szCs w:val="22"/>
        </w:rPr>
      </w:pPr>
    </w:p>
    <w:p w14:paraId="5F93B05A" w14:textId="77777777" w:rsidR="0060177E" w:rsidRDefault="0060177E" w:rsidP="00720FD4">
      <w:pPr>
        <w:pStyle w:val="Default"/>
        <w:jc w:val="both"/>
        <w:rPr>
          <w:rFonts w:asciiTheme="minorHAnsi" w:hAnsiTheme="minorHAnsi"/>
          <w:sz w:val="22"/>
          <w:szCs w:val="22"/>
        </w:rPr>
      </w:pPr>
      <w:r>
        <w:rPr>
          <w:rFonts w:asciiTheme="minorHAnsi" w:hAnsiTheme="minorHAnsi"/>
          <w:sz w:val="22"/>
          <w:szCs w:val="22"/>
        </w:rPr>
        <w:t>Take care to visit</w:t>
      </w:r>
      <w:r w:rsidR="00E31EA2">
        <w:rPr>
          <w:rFonts w:asciiTheme="minorHAnsi" w:hAnsiTheme="minorHAnsi"/>
          <w:sz w:val="22"/>
          <w:szCs w:val="22"/>
        </w:rPr>
        <w:t xml:space="preserve"> the up to date website link for the Bravo tendering system. If you use an out of date link you may end up with a warning that the site is not secure. </w:t>
      </w:r>
    </w:p>
    <w:p w14:paraId="3FE14B1B" w14:textId="77777777" w:rsidR="00E31EA2" w:rsidRDefault="00E31EA2" w:rsidP="007B6E1E">
      <w:pPr>
        <w:pStyle w:val="Default"/>
        <w:jc w:val="both"/>
        <w:rPr>
          <w:rFonts w:asciiTheme="minorHAnsi" w:hAnsiTheme="minorHAnsi"/>
          <w:sz w:val="22"/>
          <w:szCs w:val="22"/>
        </w:rPr>
      </w:pPr>
    </w:p>
    <w:p w14:paraId="410B1F8E" w14:textId="77777777" w:rsidR="00D720BB" w:rsidRDefault="00D720BB" w:rsidP="007B6E1E">
      <w:pPr>
        <w:pStyle w:val="Default"/>
        <w:jc w:val="both"/>
        <w:rPr>
          <w:rFonts w:asciiTheme="minorHAnsi" w:hAnsiTheme="minorHAnsi"/>
          <w:sz w:val="22"/>
          <w:szCs w:val="22"/>
        </w:rPr>
      </w:pPr>
    </w:p>
    <w:p w14:paraId="62C64EC5" w14:textId="77777777" w:rsidR="00E31EA2" w:rsidRDefault="00E31EA2" w:rsidP="007B6E1E">
      <w:pPr>
        <w:pStyle w:val="Default"/>
        <w:jc w:val="both"/>
        <w:rPr>
          <w:rFonts w:asciiTheme="minorHAnsi" w:hAnsiTheme="minorHAnsi"/>
          <w:sz w:val="22"/>
          <w:szCs w:val="22"/>
        </w:rPr>
      </w:pPr>
      <w:r>
        <w:rPr>
          <w:noProof/>
        </w:rPr>
        <w:drawing>
          <wp:inline distT="0" distB="0" distL="0" distR="0" wp14:anchorId="4DC39ACA" wp14:editId="64162959">
            <wp:extent cx="5719313" cy="3217034"/>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3004" cy="3235985"/>
                    </a:xfrm>
                    <a:prstGeom prst="rect">
                      <a:avLst/>
                    </a:prstGeom>
                  </pic:spPr>
                </pic:pic>
              </a:graphicData>
            </a:graphic>
          </wp:inline>
        </w:drawing>
      </w:r>
    </w:p>
    <w:p w14:paraId="6CC8C0A4" w14:textId="77777777" w:rsidR="0060177E" w:rsidRDefault="0060177E" w:rsidP="007B6E1E">
      <w:pPr>
        <w:pStyle w:val="Default"/>
        <w:jc w:val="both"/>
        <w:rPr>
          <w:rFonts w:asciiTheme="minorHAnsi" w:hAnsiTheme="minorHAnsi"/>
          <w:sz w:val="22"/>
          <w:szCs w:val="22"/>
        </w:rPr>
      </w:pPr>
    </w:p>
    <w:p w14:paraId="6C93550D" w14:textId="77777777" w:rsidR="00092CE7" w:rsidRDefault="00092CE7" w:rsidP="007B6E1E">
      <w:pPr>
        <w:pStyle w:val="Default"/>
        <w:jc w:val="both"/>
        <w:rPr>
          <w:rFonts w:asciiTheme="minorHAnsi" w:hAnsiTheme="minorHAnsi"/>
          <w:sz w:val="22"/>
          <w:szCs w:val="22"/>
        </w:rPr>
      </w:pPr>
    </w:p>
    <w:p w14:paraId="6B32CF21" w14:textId="77777777" w:rsidR="0085332F" w:rsidRDefault="0085332F" w:rsidP="00720FD4">
      <w:pPr>
        <w:pStyle w:val="Default"/>
        <w:jc w:val="both"/>
        <w:rPr>
          <w:rFonts w:asciiTheme="minorHAnsi" w:hAnsiTheme="minorHAnsi"/>
          <w:sz w:val="22"/>
          <w:szCs w:val="22"/>
        </w:rPr>
      </w:pPr>
      <w:r>
        <w:rPr>
          <w:rFonts w:asciiTheme="minorHAnsi" w:hAnsiTheme="minorHAnsi"/>
          <w:sz w:val="22"/>
          <w:szCs w:val="22"/>
        </w:rPr>
        <w:t>To complete the t</w:t>
      </w:r>
      <w:r w:rsidRPr="0085332F">
        <w:rPr>
          <w:rFonts w:asciiTheme="minorHAnsi" w:hAnsiTheme="minorHAnsi"/>
          <w:sz w:val="22"/>
          <w:szCs w:val="22"/>
        </w:rPr>
        <w:t xml:space="preserve">ender </w:t>
      </w:r>
      <w:r>
        <w:rPr>
          <w:rFonts w:asciiTheme="minorHAnsi" w:hAnsiTheme="minorHAnsi"/>
          <w:sz w:val="22"/>
          <w:szCs w:val="22"/>
        </w:rPr>
        <w:t xml:space="preserve">process </w:t>
      </w:r>
      <w:r w:rsidRPr="0085332F">
        <w:rPr>
          <w:rFonts w:asciiTheme="minorHAnsi" w:hAnsiTheme="minorHAnsi"/>
          <w:sz w:val="22"/>
          <w:szCs w:val="22"/>
        </w:rPr>
        <w:t xml:space="preserve">for </w:t>
      </w:r>
      <w:r w:rsidR="007238D7">
        <w:rPr>
          <w:rFonts w:asciiTheme="minorHAnsi" w:hAnsiTheme="minorHAnsi"/>
          <w:sz w:val="22"/>
          <w:szCs w:val="22"/>
        </w:rPr>
        <w:t xml:space="preserve">this </w:t>
      </w:r>
      <w:r>
        <w:rPr>
          <w:rFonts w:asciiTheme="minorHAnsi" w:hAnsiTheme="minorHAnsi"/>
          <w:sz w:val="22"/>
          <w:szCs w:val="22"/>
        </w:rPr>
        <w:t>Contract, you will need to complete the following:</w:t>
      </w:r>
    </w:p>
    <w:p w14:paraId="17410520" w14:textId="77777777" w:rsidR="0085332F" w:rsidRDefault="0085332F" w:rsidP="00720FD4">
      <w:pPr>
        <w:pStyle w:val="Default"/>
        <w:jc w:val="both"/>
        <w:rPr>
          <w:rFonts w:asciiTheme="minorHAnsi" w:hAnsiTheme="minorHAnsi"/>
          <w:sz w:val="22"/>
          <w:szCs w:val="22"/>
        </w:rPr>
      </w:pPr>
    </w:p>
    <w:p w14:paraId="346E51E6" w14:textId="77777777" w:rsidR="0085332F" w:rsidRPr="00E31EA2" w:rsidRDefault="0085332F" w:rsidP="00720FD4">
      <w:pPr>
        <w:pStyle w:val="Default"/>
        <w:numPr>
          <w:ilvl w:val="0"/>
          <w:numId w:val="2"/>
        </w:numPr>
        <w:jc w:val="both"/>
        <w:rPr>
          <w:rFonts w:asciiTheme="minorHAnsi" w:hAnsiTheme="minorHAnsi"/>
          <w:sz w:val="22"/>
          <w:szCs w:val="22"/>
        </w:rPr>
      </w:pPr>
      <w:r>
        <w:rPr>
          <w:rFonts w:asciiTheme="minorHAnsi" w:hAnsiTheme="minorHAnsi"/>
          <w:sz w:val="22"/>
          <w:szCs w:val="22"/>
        </w:rPr>
        <w:t>your</w:t>
      </w:r>
      <w:r w:rsidRPr="0085332F">
        <w:rPr>
          <w:rFonts w:asciiTheme="minorHAnsi" w:hAnsiTheme="minorHAnsi"/>
          <w:sz w:val="22"/>
          <w:szCs w:val="22"/>
        </w:rPr>
        <w:t xml:space="preserve"> response to the </w:t>
      </w:r>
      <w:r w:rsidR="00E31EA2">
        <w:rPr>
          <w:rFonts w:asciiTheme="minorHAnsi" w:hAnsiTheme="minorHAnsi"/>
          <w:sz w:val="22"/>
          <w:szCs w:val="22"/>
        </w:rPr>
        <w:t>Selection Questionnaire (SQ) which was previously known as the Pre-Qualification Questionnaire (PQQ)</w:t>
      </w:r>
      <w:r w:rsidR="00C93E16">
        <w:rPr>
          <w:rFonts w:asciiTheme="minorHAnsi" w:hAnsiTheme="minorHAnsi"/>
          <w:sz w:val="22"/>
          <w:szCs w:val="22"/>
        </w:rPr>
        <w:t>;</w:t>
      </w:r>
      <w:r w:rsidR="00E31EA2">
        <w:rPr>
          <w:rFonts w:asciiTheme="minorHAnsi" w:hAnsiTheme="minorHAnsi"/>
          <w:sz w:val="22"/>
          <w:szCs w:val="22"/>
        </w:rPr>
        <w:t xml:space="preserve"> </w:t>
      </w:r>
      <w:r w:rsidRPr="00E31EA2">
        <w:rPr>
          <w:rFonts w:asciiTheme="minorHAnsi" w:hAnsiTheme="minorHAnsi"/>
          <w:sz w:val="22"/>
          <w:szCs w:val="22"/>
        </w:rPr>
        <w:t>and</w:t>
      </w:r>
    </w:p>
    <w:p w14:paraId="0748C404" w14:textId="77777777" w:rsidR="000E71C9" w:rsidRDefault="000E71C9" w:rsidP="00720FD4">
      <w:pPr>
        <w:pStyle w:val="Default"/>
        <w:ind w:left="720"/>
        <w:jc w:val="both"/>
        <w:rPr>
          <w:rFonts w:asciiTheme="minorHAnsi" w:hAnsiTheme="minorHAnsi"/>
          <w:sz w:val="22"/>
          <w:szCs w:val="22"/>
        </w:rPr>
      </w:pPr>
    </w:p>
    <w:p w14:paraId="0D9490AB" w14:textId="77777777" w:rsidR="0085332F" w:rsidRDefault="0085332F" w:rsidP="00720FD4">
      <w:pPr>
        <w:pStyle w:val="Default"/>
        <w:numPr>
          <w:ilvl w:val="0"/>
          <w:numId w:val="2"/>
        </w:numPr>
        <w:jc w:val="both"/>
        <w:rPr>
          <w:rFonts w:asciiTheme="minorHAnsi" w:hAnsiTheme="minorHAnsi"/>
          <w:sz w:val="22"/>
          <w:szCs w:val="22"/>
        </w:rPr>
      </w:pPr>
      <w:r>
        <w:rPr>
          <w:rFonts w:asciiTheme="minorHAnsi" w:hAnsiTheme="minorHAnsi"/>
          <w:sz w:val="22"/>
          <w:szCs w:val="22"/>
        </w:rPr>
        <w:t xml:space="preserve">your </w:t>
      </w:r>
      <w:r w:rsidRPr="0085332F">
        <w:rPr>
          <w:rFonts w:asciiTheme="minorHAnsi" w:hAnsiTheme="minorHAnsi"/>
          <w:sz w:val="22"/>
          <w:szCs w:val="22"/>
        </w:rPr>
        <w:t>response to one or more of the</w:t>
      </w:r>
      <w:r>
        <w:rPr>
          <w:rFonts w:asciiTheme="minorHAnsi" w:hAnsiTheme="minorHAnsi"/>
          <w:sz w:val="22"/>
          <w:szCs w:val="22"/>
        </w:rPr>
        <w:t xml:space="preserve"> individual</w:t>
      </w:r>
      <w:r w:rsidR="00DC5D05">
        <w:rPr>
          <w:rFonts w:asciiTheme="minorHAnsi" w:hAnsiTheme="minorHAnsi"/>
          <w:sz w:val="22"/>
          <w:szCs w:val="22"/>
        </w:rPr>
        <w:t xml:space="preserve"> Procurement Area ITTs (</w:t>
      </w:r>
      <w:r w:rsidRPr="0085332F">
        <w:rPr>
          <w:rFonts w:asciiTheme="minorHAnsi" w:hAnsiTheme="minorHAnsi"/>
          <w:sz w:val="22"/>
          <w:szCs w:val="22"/>
        </w:rPr>
        <w:t>Procurement Area Bid(s)</w:t>
      </w:r>
      <w:r>
        <w:rPr>
          <w:rFonts w:asciiTheme="minorHAnsi" w:hAnsiTheme="minorHAnsi"/>
          <w:sz w:val="22"/>
          <w:szCs w:val="22"/>
        </w:rPr>
        <w:t xml:space="preserve">) </w:t>
      </w:r>
    </w:p>
    <w:p w14:paraId="6FF25AC7" w14:textId="77777777" w:rsidR="00BE484D" w:rsidRDefault="00BE484D" w:rsidP="007629A1">
      <w:pPr>
        <w:spacing w:after="0"/>
        <w:jc w:val="both"/>
      </w:pPr>
    </w:p>
    <w:p w14:paraId="3F917AD4" w14:textId="77777777" w:rsidR="00F87B89" w:rsidRDefault="00F87B89" w:rsidP="007629A1">
      <w:pPr>
        <w:spacing w:after="0"/>
        <w:jc w:val="both"/>
        <w:rPr>
          <w:i/>
        </w:rPr>
      </w:pPr>
    </w:p>
    <w:p w14:paraId="4B21FEA4" w14:textId="77777777" w:rsidR="00F87B89" w:rsidRDefault="00F87B89" w:rsidP="007629A1">
      <w:pPr>
        <w:spacing w:after="0"/>
        <w:jc w:val="both"/>
        <w:rPr>
          <w:i/>
        </w:rPr>
      </w:pPr>
    </w:p>
    <w:p w14:paraId="7232BB6F" w14:textId="77777777" w:rsidR="009A4F21" w:rsidRDefault="009A4F21" w:rsidP="007629A1">
      <w:pPr>
        <w:spacing w:after="0"/>
        <w:jc w:val="both"/>
        <w:rPr>
          <w:b/>
          <w:lang w:val="en-US"/>
        </w:rPr>
      </w:pPr>
      <w:r w:rsidRPr="00CD1E22">
        <w:rPr>
          <w:b/>
          <w:lang w:val="en-US"/>
        </w:rPr>
        <w:t>Methods of submitting a response</w:t>
      </w:r>
    </w:p>
    <w:p w14:paraId="1F4D73B5" w14:textId="77777777" w:rsidR="00F87B89" w:rsidRPr="00CD1E22" w:rsidRDefault="00F87B89" w:rsidP="007629A1">
      <w:pPr>
        <w:spacing w:after="0"/>
        <w:jc w:val="both"/>
        <w:rPr>
          <w:b/>
          <w:lang w:val="en-US"/>
        </w:rPr>
      </w:pPr>
    </w:p>
    <w:p w14:paraId="795CAD42" w14:textId="77777777" w:rsidR="0085332F" w:rsidRDefault="0085332F" w:rsidP="007629A1">
      <w:pPr>
        <w:spacing w:after="0"/>
        <w:jc w:val="both"/>
      </w:pPr>
      <w:r>
        <w:t xml:space="preserve">There are two main ways in </w:t>
      </w:r>
      <w:r w:rsidR="007B6E1E">
        <w:t xml:space="preserve">which you can complete the </w:t>
      </w:r>
      <w:r w:rsidR="00F87B89">
        <w:t xml:space="preserve">SQ and </w:t>
      </w:r>
      <w:r w:rsidR="007B6E1E">
        <w:t>ITT</w:t>
      </w:r>
      <w:r w:rsidR="00F87B89">
        <w:t>(</w:t>
      </w:r>
      <w:r w:rsidR="007B6E1E">
        <w:t>s</w:t>
      </w:r>
      <w:r w:rsidR="00F87B89">
        <w:t>)</w:t>
      </w:r>
      <w:r w:rsidR="007B6E1E">
        <w:t>:</w:t>
      </w:r>
    </w:p>
    <w:p w14:paraId="736FBA41" w14:textId="77777777" w:rsidR="00F87B89" w:rsidRDefault="00F87B89" w:rsidP="007629A1">
      <w:pPr>
        <w:spacing w:after="0"/>
        <w:jc w:val="both"/>
      </w:pPr>
    </w:p>
    <w:p w14:paraId="2049446E" w14:textId="77777777" w:rsidR="0085332F" w:rsidRDefault="007B6E1E" w:rsidP="007629A1">
      <w:pPr>
        <w:pStyle w:val="ListParagraph"/>
        <w:numPr>
          <w:ilvl w:val="0"/>
          <w:numId w:val="3"/>
        </w:numPr>
        <w:spacing w:after="0"/>
        <w:jc w:val="both"/>
      </w:pPr>
      <w:r>
        <w:t xml:space="preserve">Straight input of text into </w:t>
      </w:r>
      <w:r w:rsidR="003968A7">
        <w:t xml:space="preserve">the </w:t>
      </w:r>
      <w:r>
        <w:t>Bravo</w:t>
      </w:r>
      <w:r w:rsidR="003968A7">
        <w:t xml:space="preserve"> Portal</w:t>
      </w:r>
    </w:p>
    <w:p w14:paraId="35D2EA55" w14:textId="77777777" w:rsidR="00F87B89" w:rsidRDefault="00F87B89" w:rsidP="007629A1">
      <w:pPr>
        <w:pStyle w:val="ListParagraph"/>
        <w:spacing w:after="0"/>
        <w:jc w:val="both"/>
      </w:pPr>
    </w:p>
    <w:p w14:paraId="77748575" w14:textId="77777777" w:rsidR="002229E0" w:rsidRDefault="007B6E1E" w:rsidP="007629A1">
      <w:pPr>
        <w:spacing w:after="0"/>
        <w:ind w:left="720"/>
        <w:jc w:val="both"/>
      </w:pPr>
      <w:r>
        <w:t xml:space="preserve">By this means, you would simply type your answers </w:t>
      </w:r>
      <w:r w:rsidR="003968A7">
        <w:t>directly into the Bravo P</w:t>
      </w:r>
      <w:r>
        <w:t xml:space="preserve">ortal (noting that some answers will simply involve choosing the relevant answer from drop down boxes within the portal).  </w:t>
      </w:r>
      <w:r w:rsidR="00B474EE">
        <w:t xml:space="preserve">This is the most common method of completing the tender. </w:t>
      </w:r>
    </w:p>
    <w:p w14:paraId="4C30DDC0" w14:textId="77777777" w:rsidR="00F87B89" w:rsidRDefault="00F87B89" w:rsidP="007629A1">
      <w:pPr>
        <w:spacing w:after="0"/>
        <w:jc w:val="both"/>
      </w:pPr>
    </w:p>
    <w:p w14:paraId="09B7FF85" w14:textId="77777777" w:rsidR="007B6E1E" w:rsidRDefault="007B6E1E" w:rsidP="007629A1">
      <w:pPr>
        <w:pStyle w:val="ListParagraph"/>
        <w:numPr>
          <w:ilvl w:val="0"/>
          <w:numId w:val="3"/>
        </w:numPr>
        <w:spacing w:after="0"/>
        <w:jc w:val="both"/>
      </w:pPr>
      <w:r>
        <w:t xml:space="preserve">Inputting text into a spreadsheet for </w:t>
      </w:r>
      <w:r w:rsidR="00092CE7">
        <w:t xml:space="preserve">manual </w:t>
      </w:r>
      <w:r>
        <w:t>upload to</w:t>
      </w:r>
      <w:r w:rsidR="003968A7">
        <w:t xml:space="preserve"> the</w:t>
      </w:r>
      <w:r>
        <w:t xml:space="preserve"> Bravo</w:t>
      </w:r>
      <w:r w:rsidR="003968A7">
        <w:t xml:space="preserve"> Portal</w:t>
      </w:r>
    </w:p>
    <w:p w14:paraId="72D252F3" w14:textId="77777777" w:rsidR="00F87B89" w:rsidRDefault="00F87B89" w:rsidP="007629A1">
      <w:pPr>
        <w:pStyle w:val="ListParagraph"/>
        <w:spacing w:after="0"/>
        <w:jc w:val="both"/>
      </w:pPr>
    </w:p>
    <w:p w14:paraId="09C538FB" w14:textId="2EBDBD13" w:rsidR="003E4263" w:rsidRDefault="00B474EE" w:rsidP="007629A1">
      <w:pPr>
        <w:spacing w:after="0"/>
        <w:ind w:left="720"/>
        <w:jc w:val="both"/>
      </w:pPr>
      <w:r>
        <w:t xml:space="preserve">This </w:t>
      </w:r>
      <w:r w:rsidR="007B6E1E">
        <w:t xml:space="preserve">alternative method </w:t>
      </w:r>
      <w:r>
        <w:t xml:space="preserve">involves </w:t>
      </w:r>
      <w:r w:rsidR="003968A7">
        <w:t>download</w:t>
      </w:r>
      <w:r>
        <w:t>ing</w:t>
      </w:r>
      <w:r w:rsidR="003968A7">
        <w:t xml:space="preserve"> the </w:t>
      </w:r>
      <w:r>
        <w:t xml:space="preserve">questions </w:t>
      </w:r>
      <w:r w:rsidR="00B409A1">
        <w:t xml:space="preserve">from the </w:t>
      </w:r>
      <w:r w:rsidR="003968A7">
        <w:t>ITT in</w:t>
      </w:r>
      <w:r>
        <w:t>to an</w:t>
      </w:r>
      <w:r w:rsidR="003968A7">
        <w:t xml:space="preserve"> excel spreadsheet.  </w:t>
      </w:r>
      <w:r w:rsidR="003968A7" w:rsidRPr="003968A7">
        <w:t>You can then complete your answers on to the spreadsheet and once complete, upload the data from the spr</w:t>
      </w:r>
      <w:r w:rsidR="003968A7">
        <w:t>eadsheet directly to the Bravo P</w:t>
      </w:r>
      <w:r w:rsidR="003968A7" w:rsidRPr="003968A7">
        <w:t>ortal.</w:t>
      </w:r>
      <w:r w:rsidR="003E4263">
        <w:t xml:space="preserve"> If you</w:t>
      </w:r>
      <w:r w:rsidR="00EF50DB">
        <w:t xml:space="preserve"> are</w:t>
      </w:r>
      <w:r w:rsidR="003E4263">
        <w:t xml:space="preserve"> confident</w:t>
      </w:r>
      <w:r w:rsidR="00EF50DB">
        <w:t xml:space="preserve"> </w:t>
      </w:r>
      <w:r w:rsidR="003E4263">
        <w:t>with downloading and uploading excel spreadsheets</w:t>
      </w:r>
      <w:r w:rsidR="00EF50DB">
        <w:t xml:space="preserve"> (and relatively IT proficient)</w:t>
      </w:r>
      <w:r w:rsidR="003E4263">
        <w:t xml:space="preserve">, this </w:t>
      </w:r>
      <w:r w:rsidR="00B409A1">
        <w:t xml:space="preserve">may be an </w:t>
      </w:r>
      <w:r w:rsidR="003E4263">
        <w:t>option.  However, please be aware that if you accidently add, delete or remove any rows or answers, your tender will probably fail.</w:t>
      </w:r>
      <w:r w:rsidR="00EF50DB">
        <w:t xml:space="preserve">  </w:t>
      </w:r>
    </w:p>
    <w:p w14:paraId="6E279CAB" w14:textId="77777777" w:rsidR="00F87B89" w:rsidRDefault="00F87B89" w:rsidP="007629A1">
      <w:pPr>
        <w:spacing w:after="0"/>
        <w:ind w:left="720"/>
        <w:jc w:val="both"/>
      </w:pPr>
    </w:p>
    <w:p w14:paraId="00B241C3" w14:textId="77777777" w:rsidR="003E4263" w:rsidRDefault="003E4263" w:rsidP="007629A1">
      <w:pPr>
        <w:spacing w:after="0"/>
        <w:ind w:left="720"/>
        <w:jc w:val="both"/>
      </w:pPr>
      <w:r>
        <w:t>If you wish to use this method, please follow the steps below:</w:t>
      </w:r>
    </w:p>
    <w:p w14:paraId="51919035" w14:textId="77777777" w:rsidR="00F87B89" w:rsidRDefault="00F87B89" w:rsidP="007629A1">
      <w:pPr>
        <w:spacing w:after="0"/>
        <w:ind w:left="720"/>
        <w:jc w:val="both"/>
      </w:pPr>
    </w:p>
    <w:p w14:paraId="58562E33" w14:textId="77777777" w:rsidR="00684266" w:rsidRDefault="00B84B33" w:rsidP="007629A1">
      <w:pPr>
        <w:pStyle w:val="ListParagraph"/>
        <w:spacing w:after="0"/>
      </w:pPr>
      <w:r w:rsidRPr="00B84B33">
        <w:rPr>
          <w:u w:val="single"/>
        </w:rPr>
        <w:t>Downloading the spreadsheet</w:t>
      </w:r>
      <w:r w:rsidRPr="00B84B33">
        <w:rPr>
          <w:u w:val="single"/>
        </w:rPr>
        <w:br/>
      </w:r>
    </w:p>
    <w:p w14:paraId="7D3743E0" w14:textId="77777777" w:rsidR="00B84B33" w:rsidRDefault="00B84B33" w:rsidP="007629A1">
      <w:pPr>
        <w:pStyle w:val="ListParagraph"/>
        <w:numPr>
          <w:ilvl w:val="0"/>
          <w:numId w:val="6"/>
        </w:numPr>
        <w:spacing w:after="0"/>
        <w:jc w:val="both"/>
      </w:pPr>
      <w:r w:rsidRPr="00B84B33">
        <w:t xml:space="preserve">Log-on to Bravo using your username and password </w:t>
      </w:r>
    </w:p>
    <w:p w14:paraId="4C33D10D" w14:textId="77777777" w:rsidR="0067065D" w:rsidRDefault="0067065D" w:rsidP="007629A1">
      <w:pPr>
        <w:pStyle w:val="ListParagraph"/>
        <w:spacing w:after="0"/>
        <w:ind w:left="1440"/>
        <w:jc w:val="both"/>
      </w:pPr>
    </w:p>
    <w:p w14:paraId="7AE7B01E" w14:textId="77777777" w:rsidR="003E4263" w:rsidRDefault="00B84B33" w:rsidP="007629A1">
      <w:pPr>
        <w:pStyle w:val="ListParagraph"/>
        <w:numPr>
          <w:ilvl w:val="0"/>
          <w:numId w:val="6"/>
        </w:numPr>
        <w:spacing w:after="0"/>
        <w:jc w:val="both"/>
      </w:pPr>
      <w:r w:rsidRPr="00B84B33">
        <w:t>Select My ITTs</w:t>
      </w:r>
      <w:r>
        <w:t xml:space="preserve">  </w:t>
      </w:r>
    </w:p>
    <w:p w14:paraId="255C6B48" w14:textId="77777777" w:rsidR="0067065D" w:rsidRDefault="0067065D" w:rsidP="007629A1">
      <w:pPr>
        <w:pStyle w:val="ListParagraph"/>
        <w:spacing w:after="0"/>
        <w:ind w:left="1440"/>
        <w:jc w:val="both"/>
      </w:pPr>
    </w:p>
    <w:p w14:paraId="658C70B6" w14:textId="77777777" w:rsidR="00B474EE" w:rsidRDefault="003E4263" w:rsidP="007629A1">
      <w:pPr>
        <w:pStyle w:val="ListParagraph"/>
        <w:numPr>
          <w:ilvl w:val="0"/>
          <w:numId w:val="6"/>
        </w:numPr>
        <w:spacing w:after="0"/>
      </w:pPr>
      <w:r>
        <w:t xml:space="preserve">Select </w:t>
      </w:r>
      <w:r w:rsidR="00690579">
        <w:t xml:space="preserve">the </w:t>
      </w:r>
      <w:r>
        <w:t xml:space="preserve">ITT </w:t>
      </w:r>
      <w:r w:rsidR="000C2AF5">
        <w:t>you wish to complete</w:t>
      </w:r>
      <w:r w:rsidR="00B474EE">
        <w:br/>
      </w:r>
    </w:p>
    <w:p w14:paraId="57CCE1DD" w14:textId="400B5287" w:rsidR="0067065D" w:rsidRDefault="00B429B2" w:rsidP="007629A1">
      <w:pPr>
        <w:pStyle w:val="ListParagraph"/>
        <w:numPr>
          <w:ilvl w:val="0"/>
          <w:numId w:val="6"/>
        </w:numPr>
        <w:spacing w:after="0"/>
        <w:jc w:val="both"/>
      </w:pPr>
      <w:r>
        <w:t>In the top right</w:t>
      </w:r>
      <w:r w:rsidR="00C93E16">
        <w:t>-</w:t>
      </w:r>
      <w:r>
        <w:t>hand corner of the screen, c</w:t>
      </w:r>
      <w:r w:rsidR="000C2AF5">
        <w:t xml:space="preserve">lick on </w:t>
      </w:r>
      <w:r w:rsidR="00607833">
        <w:t>the box ‘</w:t>
      </w:r>
      <w:r w:rsidR="003E4263">
        <w:t>Export/Import Response</w:t>
      </w:r>
      <w:r w:rsidR="00607833">
        <w:t>’</w:t>
      </w:r>
    </w:p>
    <w:p w14:paraId="6A01BCC4" w14:textId="77777777" w:rsidR="0067065D" w:rsidRDefault="0067065D" w:rsidP="007629A1">
      <w:pPr>
        <w:pStyle w:val="ListParagraph"/>
        <w:spacing w:after="0"/>
      </w:pPr>
    </w:p>
    <w:p w14:paraId="5FB3911B" w14:textId="77777777" w:rsidR="0067065D" w:rsidRDefault="003E4263" w:rsidP="007629A1">
      <w:pPr>
        <w:pStyle w:val="ListParagraph"/>
        <w:numPr>
          <w:ilvl w:val="0"/>
          <w:numId w:val="6"/>
        </w:numPr>
        <w:spacing w:after="0"/>
        <w:jc w:val="both"/>
      </w:pPr>
      <w:r>
        <w:t>Select download</w:t>
      </w:r>
    </w:p>
    <w:p w14:paraId="06D293DA" w14:textId="77777777" w:rsidR="0067065D" w:rsidRDefault="0067065D" w:rsidP="007629A1">
      <w:pPr>
        <w:pStyle w:val="ListParagraph"/>
        <w:spacing w:after="0"/>
        <w:ind w:left="1440"/>
        <w:jc w:val="both"/>
      </w:pPr>
    </w:p>
    <w:p w14:paraId="577EB9E8" w14:textId="77777777" w:rsidR="003E4263" w:rsidRDefault="003E4263" w:rsidP="007629A1">
      <w:pPr>
        <w:pStyle w:val="ListParagraph"/>
        <w:numPr>
          <w:ilvl w:val="0"/>
          <w:numId w:val="6"/>
        </w:numPr>
        <w:spacing w:after="0"/>
        <w:jc w:val="both"/>
      </w:pPr>
      <w:r>
        <w:t>Open the spreadsheet and save it to your PC or server</w:t>
      </w:r>
    </w:p>
    <w:p w14:paraId="33AEDD76" w14:textId="77777777" w:rsidR="0067065D" w:rsidRDefault="0067065D" w:rsidP="007629A1">
      <w:pPr>
        <w:pStyle w:val="ListParagraph"/>
        <w:spacing w:after="0"/>
        <w:ind w:left="1440"/>
        <w:jc w:val="both"/>
      </w:pPr>
    </w:p>
    <w:p w14:paraId="5672CC16" w14:textId="77777777" w:rsidR="0067065D" w:rsidRDefault="003E4263" w:rsidP="007629A1">
      <w:pPr>
        <w:pStyle w:val="ListParagraph"/>
        <w:numPr>
          <w:ilvl w:val="0"/>
          <w:numId w:val="6"/>
        </w:numPr>
        <w:spacing w:after="0"/>
        <w:jc w:val="both"/>
      </w:pPr>
      <w:r>
        <w:t>Complete the spreadsheet taking great care not to alter the design or layout of the spreadsheet</w:t>
      </w:r>
    </w:p>
    <w:p w14:paraId="0D0C4821" w14:textId="77777777" w:rsidR="0067065D" w:rsidRDefault="0067065D" w:rsidP="007629A1">
      <w:pPr>
        <w:pStyle w:val="ListParagraph"/>
        <w:spacing w:after="0"/>
      </w:pPr>
    </w:p>
    <w:p w14:paraId="2B37CF30" w14:textId="77777777" w:rsidR="003E4263" w:rsidRDefault="003E4263" w:rsidP="007629A1">
      <w:pPr>
        <w:pStyle w:val="ListParagraph"/>
        <w:numPr>
          <w:ilvl w:val="0"/>
          <w:numId w:val="6"/>
        </w:numPr>
        <w:spacing w:after="0"/>
        <w:jc w:val="both"/>
      </w:pPr>
      <w:r>
        <w:t>Save the spreadsheet onto your PC – preferably by giving it a clearly recognisable name</w:t>
      </w:r>
      <w:r w:rsidR="001A102C">
        <w:t>, version number</w:t>
      </w:r>
      <w:r>
        <w:t xml:space="preserve"> (and a date) to make it clear which document you will later need to upload</w:t>
      </w:r>
    </w:p>
    <w:p w14:paraId="17143CEE" w14:textId="77777777" w:rsidR="00B84B33" w:rsidRDefault="00B84B33" w:rsidP="007629A1">
      <w:pPr>
        <w:pStyle w:val="ListParagraph"/>
        <w:spacing w:after="0"/>
        <w:ind w:left="1440"/>
        <w:jc w:val="both"/>
      </w:pPr>
    </w:p>
    <w:p w14:paraId="7E723DCA" w14:textId="77777777" w:rsidR="00BE484D" w:rsidRDefault="00BE484D" w:rsidP="007629A1">
      <w:pPr>
        <w:pStyle w:val="ListParagraph"/>
        <w:spacing w:after="0"/>
        <w:ind w:left="1440"/>
        <w:jc w:val="both"/>
      </w:pPr>
    </w:p>
    <w:p w14:paraId="7FB96B96" w14:textId="77777777" w:rsidR="00BE484D" w:rsidRDefault="00BE484D" w:rsidP="007629A1">
      <w:pPr>
        <w:pStyle w:val="ListParagraph"/>
        <w:spacing w:after="0"/>
        <w:ind w:left="1440"/>
        <w:jc w:val="both"/>
      </w:pPr>
    </w:p>
    <w:p w14:paraId="0761476A" w14:textId="77777777" w:rsidR="00B84B33" w:rsidRDefault="00B84B33" w:rsidP="007629A1">
      <w:pPr>
        <w:pStyle w:val="ListParagraph"/>
        <w:spacing w:after="0"/>
        <w:jc w:val="both"/>
        <w:rPr>
          <w:u w:val="single"/>
        </w:rPr>
      </w:pPr>
      <w:r w:rsidRPr="00B84B33">
        <w:rPr>
          <w:u w:val="single"/>
        </w:rPr>
        <w:t>Uploading the completed spreadsheet</w:t>
      </w:r>
    </w:p>
    <w:p w14:paraId="39FD72F8" w14:textId="77777777" w:rsidR="0067065D" w:rsidRPr="00B84B33" w:rsidRDefault="0067065D" w:rsidP="007629A1">
      <w:pPr>
        <w:pStyle w:val="ListParagraph"/>
        <w:spacing w:after="0"/>
        <w:jc w:val="both"/>
        <w:rPr>
          <w:u w:val="single"/>
        </w:rPr>
      </w:pPr>
    </w:p>
    <w:p w14:paraId="4B30562E" w14:textId="77777777" w:rsidR="003E4263" w:rsidRDefault="003E4263" w:rsidP="007629A1">
      <w:pPr>
        <w:pStyle w:val="ListParagraph"/>
        <w:numPr>
          <w:ilvl w:val="0"/>
          <w:numId w:val="6"/>
        </w:numPr>
        <w:spacing w:after="0"/>
        <w:jc w:val="both"/>
      </w:pPr>
      <w:r>
        <w:t>Log-on to Bravo using your username and password</w:t>
      </w:r>
    </w:p>
    <w:p w14:paraId="1867047F" w14:textId="77777777" w:rsidR="0067065D" w:rsidRDefault="0067065D" w:rsidP="007629A1">
      <w:pPr>
        <w:pStyle w:val="ListParagraph"/>
        <w:spacing w:after="0"/>
        <w:ind w:left="1440"/>
        <w:jc w:val="both"/>
      </w:pPr>
    </w:p>
    <w:p w14:paraId="43243130" w14:textId="77777777" w:rsidR="0067065D" w:rsidRDefault="003E4263" w:rsidP="007629A1">
      <w:pPr>
        <w:pStyle w:val="ListParagraph"/>
        <w:numPr>
          <w:ilvl w:val="0"/>
          <w:numId w:val="6"/>
        </w:numPr>
        <w:spacing w:after="0"/>
        <w:jc w:val="both"/>
      </w:pPr>
      <w:r>
        <w:t>Select My ITTs</w:t>
      </w:r>
    </w:p>
    <w:p w14:paraId="5E7FC8FD" w14:textId="77777777" w:rsidR="0067065D" w:rsidRDefault="0067065D" w:rsidP="007629A1">
      <w:pPr>
        <w:pStyle w:val="ListParagraph"/>
        <w:spacing w:after="0"/>
      </w:pPr>
    </w:p>
    <w:p w14:paraId="674E87D8" w14:textId="77777777" w:rsidR="00B474EE" w:rsidRDefault="001A102C" w:rsidP="007629A1">
      <w:pPr>
        <w:pStyle w:val="ListParagraph"/>
        <w:numPr>
          <w:ilvl w:val="0"/>
          <w:numId w:val="6"/>
        </w:numPr>
        <w:spacing w:after="0"/>
      </w:pPr>
      <w:r>
        <w:t>Select ITT you wish to complete</w:t>
      </w:r>
      <w:r w:rsidR="00B474EE">
        <w:br/>
      </w:r>
    </w:p>
    <w:p w14:paraId="4ABE65ED" w14:textId="77777777" w:rsidR="00B474EE" w:rsidRDefault="00B474EE" w:rsidP="007629A1">
      <w:pPr>
        <w:pStyle w:val="ListParagraph"/>
        <w:numPr>
          <w:ilvl w:val="0"/>
          <w:numId w:val="6"/>
        </w:numPr>
        <w:spacing w:after="0"/>
        <w:jc w:val="both"/>
      </w:pPr>
      <w:r>
        <w:t>In the top right hand corner of the screen, click on the box ‘Export/Import Response’</w:t>
      </w:r>
    </w:p>
    <w:p w14:paraId="055903A0" w14:textId="77777777" w:rsidR="0067065D" w:rsidRDefault="0067065D" w:rsidP="007629A1">
      <w:pPr>
        <w:pStyle w:val="ListParagraph"/>
        <w:spacing w:after="0"/>
      </w:pPr>
    </w:p>
    <w:p w14:paraId="42ECD263" w14:textId="77777777" w:rsidR="0067065D" w:rsidRDefault="003E4263" w:rsidP="007629A1">
      <w:pPr>
        <w:pStyle w:val="ListParagraph"/>
        <w:numPr>
          <w:ilvl w:val="0"/>
          <w:numId w:val="6"/>
        </w:numPr>
        <w:spacing w:after="0"/>
        <w:jc w:val="both"/>
      </w:pPr>
      <w:r>
        <w:lastRenderedPageBreak/>
        <w:t>Next to ‘Select file to import’ select the ‘</w:t>
      </w:r>
      <w:r w:rsidR="00B474EE">
        <w:t>Choose file</w:t>
      </w:r>
      <w:r>
        <w:t>’ button</w:t>
      </w:r>
    </w:p>
    <w:p w14:paraId="125001D3" w14:textId="77777777" w:rsidR="0067065D" w:rsidRDefault="0067065D" w:rsidP="007629A1">
      <w:pPr>
        <w:pStyle w:val="ListParagraph"/>
        <w:spacing w:after="0"/>
      </w:pPr>
    </w:p>
    <w:p w14:paraId="2262B7AC" w14:textId="77777777" w:rsidR="003E4263" w:rsidRDefault="003E4263" w:rsidP="007629A1">
      <w:pPr>
        <w:pStyle w:val="ListParagraph"/>
        <w:numPr>
          <w:ilvl w:val="0"/>
          <w:numId w:val="6"/>
        </w:numPr>
        <w:spacing w:after="0"/>
        <w:jc w:val="both"/>
      </w:pPr>
      <w:r>
        <w:t>You will be asked to select a file from your PC or server. Find the location of the file.</w:t>
      </w:r>
    </w:p>
    <w:p w14:paraId="402D07EB" w14:textId="77777777" w:rsidR="0067065D" w:rsidRDefault="0067065D" w:rsidP="007629A1">
      <w:pPr>
        <w:pStyle w:val="ListParagraph"/>
        <w:spacing w:after="0"/>
      </w:pPr>
    </w:p>
    <w:p w14:paraId="1A959252" w14:textId="77777777" w:rsidR="003E4263" w:rsidRDefault="003E4263" w:rsidP="007629A1">
      <w:pPr>
        <w:pStyle w:val="ListParagraph"/>
        <w:numPr>
          <w:ilvl w:val="0"/>
          <w:numId w:val="6"/>
        </w:numPr>
        <w:spacing w:after="0"/>
        <w:jc w:val="both"/>
      </w:pPr>
      <w:r>
        <w:t>Select the button ‘Import Excel’</w:t>
      </w:r>
    </w:p>
    <w:p w14:paraId="771B265B" w14:textId="77777777" w:rsidR="0067065D" w:rsidRDefault="0067065D" w:rsidP="007629A1">
      <w:pPr>
        <w:pStyle w:val="ListParagraph"/>
        <w:spacing w:after="0"/>
      </w:pPr>
    </w:p>
    <w:p w14:paraId="679B77B4" w14:textId="77777777" w:rsidR="003E4263" w:rsidRDefault="003E4263" w:rsidP="007629A1">
      <w:pPr>
        <w:pStyle w:val="ListParagraph"/>
        <w:numPr>
          <w:ilvl w:val="0"/>
          <w:numId w:val="6"/>
        </w:numPr>
        <w:spacing w:after="0"/>
        <w:jc w:val="both"/>
      </w:pPr>
      <w:r>
        <w:t>You should see a message ‘Your Response has been successfully imported.’</w:t>
      </w:r>
    </w:p>
    <w:p w14:paraId="524C1DF7" w14:textId="77777777" w:rsidR="0067065D" w:rsidRDefault="0067065D" w:rsidP="007629A1">
      <w:pPr>
        <w:pStyle w:val="ListParagraph"/>
        <w:spacing w:after="0"/>
      </w:pPr>
    </w:p>
    <w:p w14:paraId="4D2663F2" w14:textId="77777777" w:rsidR="003E4263" w:rsidRDefault="003E4263" w:rsidP="007629A1">
      <w:pPr>
        <w:pStyle w:val="ListParagraph"/>
        <w:numPr>
          <w:ilvl w:val="0"/>
          <w:numId w:val="6"/>
        </w:numPr>
        <w:spacing w:after="0"/>
        <w:jc w:val="both"/>
      </w:pPr>
      <w:r>
        <w:t>Check that the response accords with the content of your spreadsheet. If not, select the option ‘</w:t>
      </w:r>
      <w:r w:rsidR="0067065D">
        <w:t>Undo all changes’ and try again</w:t>
      </w:r>
    </w:p>
    <w:p w14:paraId="54D5253D" w14:textId="77777777" w:rsidR="0067065D" w:rsidRDefault="0067065D" w:rsidP="007629A1">
      <w:pPr>
        <w:pStyle w:val="ListParagraph"/>
        <w:spacing w:after="0"/>
      </w:pPr>
    </w:p>
    <w:p w14:paraId="10026556" w14:textId="77777777" w:rsidR="003E4263" w:rsidRPr="003968A7" w:rsidRDefault="003E4263" w:rsidP="007629A1">
      <w:pPr>
        <w:pStyle w:val="ListParagraph"/>
        <w:numPr>
          <w:ilvl w:val="0"/>
          <w:numId w:val="6"/>
        </w:numPr>
        <w:spacing w:after="0"/>
        <w:jc w:val="both"/>
      </w:pPr>
      <w:r>
        <w:t>Go back to step 1 and this time complete an ITT for each procurement area where you are submitting a tender</w:t>
      </w:r>
      <w:r w:rsidR="001A102C">
        <w:t xml:space="preserve"> and an </w:t>
      </w:r>
      <w:r w:rsidR="00D13B98">
        <w:t>Organisation</w:t>
      </w:r>
      <w:r w:rsidR="001A102C">
        <w:t xml:space="preserve"> ITT</w:t>
      </w:r>
      <w:r>
        <w:t>.</w:t>
      </w:r>
    </w:p>
    <w:p w14:paraId="46F6555B" w14:textId="77777777" w:rsidR="00C93E16" w:rsidRDefault="00C93E16" w:rsidP="007629A1">
      <w:pPr>
        <w:spacing w:after="0"/>
        <w:jc w:val="both"/>
      </w:pPr>
    </w:p>
    <w:p w14:paraId="733557FA" w14:textId="77777777" w:rsidR="001447E9" w:rsidRDefault="00EF50DB" w:rsidP="007629A1">
      <w:pPr>
        <w:spacing w:after="0"/>
        <w:jc w:val="both"/>
      </w:pPr>
      <w:r w:rsidRPr="00EF50DB">
        <w:t xml:space="preserve">Even if you do not choose the second </w:t>
      </w:r>
      <w:r>
        <w:t>option,</w:t>
      </w:r>
      <w:r w:rsidR="00755FE4">
        <w:t xml:space="preserve"> you may still like to use the s</w:t>
      </w:r>
      <w:r>
        <w:t xml:space="preserve">preadsheets as a means of collating your answers </w:t>
      </w:r>
      <w:r w:rsidR="00755FE4">
        <w:t>prior to your inputting directly on to the Bravo Portal.</w:t>
      </w:r>
    </w:p>
    <w:p w14:paraId="607CFC71" w14:textId="77777777" w:rsidR="00F87B89" w:rsidRDefault="00F87B89" w:rsidP="007629A1">
      <w:pPr>
        <w:spacing w:after="0"/>
        <w:jc w:val="both"/>
      </w:pPr>
    </w:p>
    <w:p w14:paraId="35ED672C" w14:textId="77777777" w:rsidR="0067065D" w:rsidRPr="00146B92" w:rsidRDefault="00146B92" w:rsidP="007629A1">
      <w:pPr>
        <w:spacing w:after="0"/>
      </w:pPr>
      <w:r w:rsidRPr="00146B92">
        <w:t>Be careful with the format of the file. When saving our test answers as a spreadsheet, the file was automatically saved as an xml file. When we tried to upload the completed ITT us</w:t>
      </w:r>
      <w:r>
        <w:t>i</w:t>
      </w:r>
      <w:r w:rsidRPr="00146B92">
        <w:t>ng the same file format, we encountered the following problem:</w:t>
      </w:r>
    </w:p>
    <w:p w14:paraId="6F9BE0F1" w14:textId="77777777" w:rsidR="00146B92" w:rsidRDefault="00146B92" w:rsidP="00146B92">
      <w:pPr>
        <w:rPr>
          <w:u w:val="single"/>
        </w:rPr>
      </w:pPr>
    </w:p>
    <w:p w14:paraId="4A117536" w14:textId="77777777" w:rsidR="00146B92" w:rsidRDefault="00146B92" w:rsidP="00146B92">
      <w:pPr>
        <w:rPr>
          <w:u w:val="single"/>
        </w:rPr>
      </w:pPr>
      <w:r>
        <w:rPr>
          <w:noProof/>
          <w:u w:val="single"/>
        </w:rPr>
        <w:drawing>
          <wp:inline distT="0" distB="0" distL="0" distR="0" wp14:anchorId="413D1FBC" wp14:editId="60F7586B">
            <wp:extent cx="3268639" cy="1121738"/>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14"/>
                    <a:stretch>
                      <a:fillRect/>
                    </a:stretch>
                  </pic:blipFill>
                  <pic:spPr>
                    <a:xfrm>
                      <a:off x="0" y="0"/>
                      <a:ext cx="3304193" cy="1133940"/>
                    </a:xfrm>
                    <a:prstGeom prst="rect">
                      <a:avLst/>
                    </a:prstGeom>
                  </pic:spPr>
                </pic:pic>
              </a:graphicData>
            </a:graphic>
          </wp:inline>
        </w:drawing>
      </w:r>
    </w:p>
    <w:p w14:paraId="1ACA759B" w14:textId="77777777" w:rsidR="00F87B89" w:rsidRDefault="00F87B89" w:rsidP="007629A1">
      <w:pPr>
        <w:spacing w:after="0" w:line="240" w:lineRule="auto"/>
      </w:pPr>
    </w:p>
    <w:p w14:paraId="640E7EBE" w14:textId="77777777" w:rsidR="0067065D" w:rsidRDefault="00146B92" w:rsidP="007629A1">
      <w:pPr>
        <w:spacing w:after="0" w:line="240" w:lineRule="auto"/>
      </w:pPr>
      <w:r>
        <w:t>To proceed</w:t>
      </w:r>
      <w:r w:rsidRPr="00146B92">
        <w:t xml:space="preserve"> we had to change the format of the file to </w:t>
      </w:r>
      <w:proofErr w:type="spellStart"/>
      <w:r w:rsidRPr="00146B92">
        <w:t>xlsx</w:t>
      </w:r>
      <w:proofErr w:type="spellEnd"/>
      <w:r w:rsidRPr="00146B92">
        <w:t xml:space="preserve"> before uploading the file. </w:t>
      </w:r>
    </w:p>
    <w:p w14:paraId="1B212B26" w14:textId="77777777" w:rsidR="00F87B89" w:rsidRPr="00146B92" w:rsidRDefault="00F87B89" w:rsidP="007629A1">
      <w:pPr>
        <w:spacing w:after="0" w:line="240" w:lineRule="auto"/>
      </w:pPr>
    </w:p>
    <w:p w14:paraId="62810866" w14:textId="77777777" w:rsidR="00146B92" w:rsidRDefault="00146B92" w:rsidP="007629A1">
      <w:pPr>
        <w:spacing w:after="0" w:line="240" w:lineRule="auto"/>
      </w:pPr>
      <w:r>
        <w:t>We also initially experienced issues with the answers appearing in the correct boxes</w:t>
      </w:r>
      <w:r w:rsidR="00D22624">
        <w:t xml:space="preserve"> which resulted in the following error</w:t>
      </w:r>
      <w:r w:rsidR="007F12AF">
        <w:t>:</w:t>
      </w:r>
    </w:p>
    <w:p w14:paraId="0B2C28B8" w14:textId="77777777" w:rsidR="007F12AF" w:rsidRDefault="007F12AF" w:rsidP="00146B92"/>
    <w:p w14:paraId="3822D164" w14:textId="77777777" w:rsidR="00146B92" w:rsidRDefault="00146B92" w:rsidP="00146B92">
      <w:r>
        <w:rPr>
          <w:noProof/>
        </w:rPr>
        <w:drawing>
          <wp:inline distT="0" distB="0" distL="0" distR="0" wp14:anchorId="0C07FB02" wp14:editId="2935320D">
            <wp:extent cx="5731510" cy="414020"/>
            <wp:effectExtent l="0" t="0" r="254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pture2.PNG"/>
                    <pic:cNvPicPr/>
                  </pic:nvPicPr>
                  <pic:blipFill>
                    <a:blip r:embed="rId15"/>
                    <a:stretch>
                      <a:fillRect/>
                    </a:stretch>
                  </pic:blipFill>
                  <pic:spPr>
                    <a:xfrm>
                      <a:off x="0" y="0"/>
                      <a:ext cx="5731510" cy="414020"/>
                    </a:xfrm>
                    <a:prstGeom prst="rect">
                      <a:avLst/>
                    </a:prstGeom>
                  </pic:spPr>
                </pic:pic>
              </a:graphicData>
            </a:graphic>
          </wp:inline>
        </w:drawing>
      </w:r>
    </w:p>
    <w:p w14:paraId="2AC7CC29" w14:textId="77777777" w:rsidR="00D22624" w:rsidRDefault="00D22624" w:rsidP="00146B92">
      <w:r>
        <w:rPr>
          <w:noProof/>
        </w:rPr>
        <w:drawing>
          <wp:inline distT="0" distB="0" distL="0" distR="0" wp14:anchorId="78CDEAA5" wp14:editId="0EAFB88D">
            <wp:extent cx="3098042" cy="1364275"/>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pture3.PNG"/>
                    <pic:cNvPicPr/>
                  </pic:nvPicPr>
                  <pic:blipFill>
                    <a:blip r:embed="rId16"/>
                    <a:stretch>
                      <a:fillRect/>
                    </a:stretch>
                  </pic:blipFill>
                  <pic:spPr>
                    <a:xfrm>
                      <a:off x="0" y="0"/>
                      <a:ext cx="3118870" cy="1373447"/>
                    </a:xfrm>
                    <a:prstGeom prst="rect">
                      <a:avLst/>
                    </a:prstGeom>
                  </pic:spPr>
                </pic:pic>
              </a:graphicData>
            </a:graphic>
          </wp:inline>
        </w:drawing>
      </w:r>
    </w:p>
    <w:p w14:paraId="4DF00AC6" w14:textId="77777777" w:rsidR="00D22624" w:rsidRDefault="00D22624" w:rsidP="007629A1">
      <w:pPr>
        <w:spacing w:after="0" w:line="240" w:lineRule="auto"/>
      </w:pPr>
    </w:p>
    <w:p w14:paraId="0CDA2B85" w14:textId="77777777" w:rsidR="0067065D" w:rsidRDefault="00146B92" w:rsidP="007629A1">
      <w:pPr>
        <w:spacing w:after="0" w:line="240" w:lineRule="auto"/>
      </w:pPr>
      <w:r w:rsidRPr="00146B92">
        <w:t xml:space="preserve">Therefore, we would </w:t>
      </w:r>
      <w:r w:rsidR="007F12AF">
        <w:t xml:space="preserve">strongly </w:t>
      </w:r>
      <w:r w:rsidRPr="00146B92">
        <w:t xml:space="preserve">recommend that you answer the questions on the portal directly and avoid the spreadsheet option. </w:t>
      </w:r>
    </w:p>
    <w:p w14:paraId="28C43BC6" w14:textId="77777777" w:rsidR="00146B92" w:rsidRPr="00146B92" w:rsidRDefault="00146B92" w:rsidP="007629A1">
      <w:pPr>
        <w:spacing w:after="0" w:line="240" w:lineRule="auto"/>
      </w:pPr>
    </w:p>
    <w:p w14:paraId="42758EA2" w14:textId="77777777" w:rsidR="00B409A1" w:rsidRDefault="00B409A1" w:rsidP="007629A1">
      <w:pPr>
        <w:spacing w:after="0" w:line="240" w:lineRule="auto"/>
        <w:rPr>
          <w:u w:val="single"/>
        </w:rPr>
      </w:pPr>
    </w:p>
    <w:p w14:paraId="0B35E616" w14:textId="55809F8C" w:rsidR="0067065D" w:rsidRDefault="007238D7" w:rsidP="007629A1">
      <w:pPr>
        <w:spacing w:after="0" w:line="240" w:lineRule="auto"/>
        <w:rPr>
          <w:u w:val="single"/>
        </w:rPr>
      </w:pPr>
      <w:r>
        <w:rPr>
          <w:u w:val="single"/>
        </w:rPr>
        <w:t xml:space="preserve">Timetable and </w:t>
      </w:r>
      <w:r w:rsidR="007D7CE9" w:rsidRPr="007D7CE9">
        <w:rPr>
          <w:u w:val="single"/>
        </w:rPr>
        <w:t>Deadlines</w:t>
      </w:r>
    </w:p>
    <w:p w14:paraId="2DC89496" w14:textId="77777777" w:rsidR="00F87B89" w:rsidRDefault="00F87B89" w:rsidP="007629A1">
      <w:pPr>
        <w:spacing w:after="0" w:line="240" w:lineRule="auto"/>
      </w:pPr>
    </w:p>
    <w:p w14:paraId="296683B5" w14:textId="58A92052" w:rsidR="002173C4" w:rsidRDefault="00D22624" w:rsidP="007629A1">
      <w:pPr>
        <w:spacing w:after="0" w:line="240" w:lineRule="auto"/>
        <w:jc w:val="both"/>
      </w:pPr>
      <w:r w:rsidRPr="00D22624">
        <w:t xml:space="preserve">Current providers will be aware that the indicative timetable is simply that. The LAA usually change the timetable to allow for errors and omissions. </w:t>
      </w:r>
      <w:r w:rsidR="002173C4">
        <w:t xml:space="preserve">For instance, because of errors, the Information for Applicants (IFA) document for the recent Crime Tendering process had to be re-issued three times with an associated Postcode Tool as well as other important forms </w:t>
      </w:r>
      <w:r w:rsidR="00C93E16">
        <w:t>also being</w:t>
      </w:r>
      <w:r w:rsidR="002173C4">
        <w:t xml:space="preserve"> re-issued several times.  </w:t>
      </w:r>
    </w:p>
    <w:p w14:paraId="5CD78235" w14:textId="77777777" w:rsidR="002173C4" w:rsidRDefault="002173C4" w:rsidP="007629A1">
      <w:pPr>
        <w:spacing w:after="0" w:line="240" w:lineRule="auto"/>
        <w:jc w:val="both"/>
      </w:pPr>
      <w:r>
        <w:t>It is therefore expected that the IFA document in this current tender will be updated at least once (but probably a few times) before the end of the tender submission window.  It is therefore important to keep an eye out for any developments and ensure that you are aware of any updates that may affect your tender.</w:t>
      </w:r>
    </w:p>
    <w:p w14:paraId="52AB18B9" w14:textId="77777777" w:rsidR="00F87B89" w:rsidRDefault="00F87B89" w:rsidP="007629A1">
      <w:pPr>
        <w:spacing w:after="0" w:line="240" w:lineRule="auto"/>
        <w:jc w:val="both"/>
      </w:pPr>
    </w:p>
    <w:p w14:paraId="08E05983" w14:textId="6B49C7AC" w:rsidR="002173C4" w:rsidRDefault="00D22624" w:rsidP="007629A1">
      <w:pPr>
        <w:spacing w:after="0" w:line="240" w:lineRule="auto"/>
        <w:jc w:val="both"/>
      </w:pPr>
      <w:r w:rsidRPr="00D22624">
        <w:t xml:space="preserve">The </w:t>
      </w:r>
      <w:r w:rsidR="00C93E16">
        <w:t xml:space="preserve">submission deadline is unlikely to change.  The </w:t>
      </w:r>
      <w:r w:rsidRPr="00D22624">
        <w:t xml:space="preserve">Contract Start Date </w:t>
      </w:r>
      <w:r w:rsidR="00C93E16">
        <w:t>is the</w:t>
      </w:r>
      <w:r w:rsidRPr="00D22624">
        <w:t xml:space="preserve"> least likely to change. </w:t>
      </w:r>
    </w:p>
    <w:p w14:paraId="21D6A413" w14:textId="77777777" w:rsidR="00F87B89" w:rsidRDefault="00F87B89" w:rsidP="007629A1">
      <w:pPr>
        <w:spacing w:after="0" w:line="240" w:lineRule="auto"/>
        <w:jc w:val="both"/>
      </w:pPr>
    </w:p>
    <w:p w14:paraId="42612A32" w14:textId="77777777" w:rsidR="002173C4" w:rsidRDefault="00D22624" w:rsidP="007629A1">
      <w:pPr>
        <w:spacing w:after="0" w:line="240" w:lineRule="auto"/>
        <w:jc w:val="both"/>
      </w:pPr>
      <w:r w:rsidRPr="00D22624">
        <w:t>The current timetable is:</w:t>
      </w:r>
    </w:p>
    <w:p w14:paraId="249C89F8" w14:textId="77777777" w:rsidR="00F87B89" w:rsidRPr="00D22624" w:rsidRDefault="00F87B89" w:rsidP="007629A1">
      <w:pPr>
        <w:spacing w:after="0" w:line="240" w:lineRule="auto"/>
        <w:jc w:val="both"/>
      </w:pPr>
    </w:p>
    <w:tbl>
      <w:tblPr>
        <w:tblW w:w="9072" w:type="dxa"/>
        <w:tblInd w:w="-5" w:type="dxa"/>
        <w:tblBorders>
          <w:top w:val="nil"/>
          <w:left w:val="nil"/>
          <w:bottom w:val="nil"/>
          <w:right w:val="nil"/>
        </w:tblBorders>
        <w:tblLayout w:type="fixed"/>
        <w:tblLook w:val="0000" w:firstRow="0" w:lastRow="0" w:firstColumn="0" w:lastColumn="0" w:noHBand="0" w:noVBand="0"/>
      </w:tblPr>
      <w:tblGrid>
        <w:gridCol w:w="4536"/>
        <w:gridCol w:w="4536"/>
      </w:tblGrid>
      <w:tr w:rsidR="00D22624" w:rsidRPr="00D22624" w14:paraId="1E94FA3B" w14:textId="77777777" w:rsidTr="00D22624">
        <w:trPr>
          <w:trHeight w:val="229"/>
        </w:trPr>
        <w:tc>
          <w:tcPr>
            <w:tcW w:w="4536" w:type="dxa"/>
            <w:tcBorders>
              <w:top w:val="single" w:sz="4" w:space="0" w:color="auto"/>
              <w:left w:val="single" w:sz="4" w:space="0" w:color="auto"/>
              <w:bottom w:val="single" w:sz="4" w:space="0" w:color="auto"/>
              <w:right w:val="single" w:sz="4" w:space="0" w:color="auto"/>
            </w:tcBorders>
          </w:tcPr>
          <w:p w14:paraId="2465C5B6" w14:textId="77777777" w:rsidR="00D22624" w:rsidRPr="00D22624" w:rsidRDefault="00D22624" w:rsidP="00D22624">
            <w:pPr>
              <w:jc w:val="both"/>
              <w:rPr>
                <w:b/>
              </w:rPr>
            </w:pPr>
            <w:r w:rsidRPr="00D22624">
              <w:rPr>
                <w:b/>
              </w:rPr>
              <w:t>Activity</w:t>
            </w:r>
          </w:p>
        </w:tc>
        <w:tc>
          <w:tcPr>
            <w:tcW w:w="4536" w:type="dxa"/>
            <w:tcBorders>
              <w:top w:val="single" w:sz="4" w:space="0" w:color="auto"/>
              <w:left w:val="single" w:sz="4" w:space="0" w:color="auto"/>
              <w:bottom w:val="single" w:sz="4" w:space="0" w:color="auto"/>
              <w:right w:val="single" w:sz="4" w:space="0" w:color="auto"/>
            </w:tcBorders>
          </w:tcPr>
          <w:p w14:paraId="6F5EB00E" w14:textId="77777777" w:rsidR="00D22624" w:rsidRPr="00D22624" w:rsidRDefault="00D22624" w:rsidP="00D22624">
            <w:pPr>
              <w:jc w:val="both"/>
              <w:rPr>
                <w:b/>
              </w:rPr>
            </w:pPr>
            <w:r w:rsidRPr="00D22624">
              <w:rPr>
                <w:b/>
              </w:rPr>
              <w:t>Timescale</w:t>
            </w:r>
          </w:p>
        </w:tc>
      </w:tr>
      <w:tr w:rsidR="00D22624" w:rsidRPr="00D22624" w14:paraId="43F81512" w14:textId="77777777" w:rsidTr="00D22624">
        <w:trPr>
          <w:trHeight w:val="229"/>
        </w:trPr>
        <w:tc>
          <w:tcPr>
            <w:tcW w:w="4536" w:type="dxa"/>
            <w:tcBorders>
              <w:top w:val="single" w:sz="4" w:space="0" w:color="auto"/>
              <w:left w:val="single" w:sz="4" w:space="0" w:color="auto"/>
              <w:bottom w:val="single" w:sz="4" w:space="0" w:color="auto"/>
              <w:right w:val="single" w:sz="4" w:space="0" w:color="auto"/>
            </w:tcBorders>
          </w:tcPr>
          <w:p w14:paraId="545067B3" w14:textId="77777777" w:rsidR="00D22624" w:rsidRPr="00D22624" w:rsidRDefault="00D22624" w:rsidP="00D22624">
            <w:pPr>
              <w:jc w:val="both"/>
            </w:pPr>
            <w:r w:rsidRPr="00D22624">
              <w:t xml:space="preserve">Procurement process opens and available via the LAA’s e-Tendering portal </w:t>
            </w:r>
          </w:p>
        </w:tc>
        <w:tc>
          <w:tcPr>
            <w:tcW w:w="4536" w:type="dxa"/>
            <w:tcBorders>
              <w:top w:val="single" w:sz="4" w:space="0" w:color="auto"/>
              <w:left w:val="single" w:sz="4" w:space="0" w:color="auto"/>
              <w:bottom w:val="single" w:sz="4" w:space="0" w:color="auto"/>
              <w:right w:val="single" w:sz="4" w:space="0" w:color="auto"/>
            </w:tcBorders>
          </w:tcPr>
          <w:p w14:paraId="2BA715B2" w14:textId="77777777" w:rsidR="00D22624" w:rsidRPr="00D22624" w:rsidRDefault="00D22624" w:rsidP="00D22624">
            <w:pPr>
              <w:jc w:val="both"/>
            </w:pPr>
            <w:r w:rsidRPr="00D22624">
              <w:t xml:space="preserve">19 September 2017 </w:t>
            </w:r>
          </w:p>
        </w:tc>
      </w:tr>
      <w:tr w:rsidR="00D22624" w:rsidRPr="00D22624" w14:paraId="78E0B73C" w14:textId="77777777" w:rsidTr="00D22624">
        <w:trPr>
          <w:trHeight w:val="229"/>
        </w:trPr>
        <w:tc>
          <w:tcPr>
            <w:tcW w:w="4536" w:type="dxa"/>
            <w:tcBorders>
              <w:top w:val="single" w:sz="4" w:space="0" w:color="auto"/>
              <w:left w:val="single" w:sz="4" w:space="0" w:color="auto"/>
              <w:bottom w:val="single" w:sz="4" w:space="0" w:color="auto"/>
              <w:right w:val="single" w:sz="4" w:space="0" w:color="auto"/>
            </w:tcBorders>
          </w:tcPr>
          <w:p w14:paraId="1F4D315A" w14:textId="77777777" w:rsidR="00D22624" w:rsidRPr="00D22624" w:rsidRDefault="00D22624" w:rsidP="00D22624">
            <w:pPr>
              <w:jc w:val="both"/>
            </w:pPr>
            <w:r w:rsidRPr="00D22624">
              <w:t xml:space="preserve">Final date for submission of questions about this procurement process </w:t>
            </w:r>
          </w:p>
        </w:tc>
        <w:tc>
          <w:tcPr>
            <w:tcW w:w="4536" w:type="dxa"/>
            <w:tcBorders>
              <w:top w:val="single" w:sz="4" w:space="0" w:color="auto"/>
              <w:left w:val="single" w:sz="4" w:space="0" w:color="auto"/>
              <w:bottom w:val="single" w:sz="4" w:space="0" w:color="auto"/>
              <w:right w:val="single" w:sz="4" w:space="0" w:color="auto"/>
            </w:tcBorders>
          </w:tcPr>
          <w:p w14:paraId="6F6B0D0E" w14:textId="77777777" w:rsidR="00D22624" w:rsidRPr="00D22624" w:rsidRDefault="00D22624" w:rsidP="00D22624">
            <w:pPr>
              <w:jc w:val="both"/>
              <w:rPr>
                <w:b/>
              </w:rPr>
            </w:pPr>
            <w:r w:rsidRPr="00D22624">
              <w:rPr>
                <w:b/>
              </w:rPr>
              <w:t>23:59 on 19 October 2017</w:t>
            </w:r>
          </w:p>
        </w:tc>
      </w:tr>
      <w:tr w:rsidR="00D22624" w:rsidRPr="00D22624" w14:paraId="57CBC17F" w14:textId="77777777" w:rsidTr="00D22624">
        <w:trPr>
          <w:trHeight w:val="229"/>
        </w:trPr>
        <w:tc>
          <w:tcPr>
            <w:tcW w:w="4536" w:type="dxa"/>
            <w:tcBorders>
              <w:top w:val="single" w:sz="4" w:space="0" w:color="auto"/>
              <w:left w:val="single" w:sz="4" w:space="0" w:color="auto"/>
              <w:bottom w:val="single" w:sz="4" w:space="0" w:color="auto"/>
              <w:right w:val="single" w:sz="4" w:space="0" w:color="auto"/>
            </w:tcBorders>
          </w:tcPr>
          <w:p w14:paraId="5FE28164" w14:textId="77777777" w:rsidR="00D22624" w:rsidRPr="00D22624" w:rsidRDefault="00D22624" w:rsidP="00D22624">
            <w:pPr>
              <w:jc w:val="both"/>
            </w:pPr>
            <w:r w:rsidRPr="00D22624">
              <w:t xml:space="preserve">Final ‘Frequently Asked Questions’ document to be published </w:t>
            </w:r>
          </w:p>
        </w:tc>
        <w:tc>
          <w:tcPr>
            <w:tcW w:w="4536" w:type="dxa"/>
            <w:tcBorders>
              <w:top w:val="single" w:sz="4" w:space="0" w:color="auto"/>
              <w:left w:val="single" w:sz="4" w:space="0" w:color="auto"/>
              <w:bottom w:val="single" w:sz="4" w:space="0" w:color="auto"/>
              <w:right w:val="single" w:sz="4" w:space="0" w:color="auto"/>
            </w:tcBorders>
          </w:tcPr>
          <w:p w14:paraId="0F8AB844" w14:textId="77777777" w:rsidR="00D22624" w:rsidRPr="00D22624" w:rsidRDefault="00D22624" w:rsidP="00D22624">
            <w:pPr>
              <w:jc w:val="both"/>
            </w:pPr>
            <w:r w:rsidRPr="00D22624">
              <w:t>W/C 30 October 2017</w:t>
            </w:r>
          </w:p>
        </w:tc>
      </w:tr>
      <w:tr w:rsidR="00D22624" w:rsidRPr="00D22624" w14:paraId="644016E5" w14:textId="77777777" w:rsidTr="00D22624">
        <w:trPr>
          <w:trHeight w:val="103"/>
        </w:trPr>
        <w:tc>
          <w:tcPr>
            <w:tcW w:w="4536" w:type="dxa"/>
            <w:tcBorders>
              <w:top w:val="single" w:sz="4" w:space="0" w:color="auto"/>
              <w:left w:val="single" w:sz="4" w:space="0" w:color="auto"/>
              <w:bottom w:val="single" w:sz="4" w:space="0" w:color="auto"/>
              <w:right w:val="single" w:sz="4" w:space="0" w:color="auto"/>
            </w:tcBorders>
          </w:tcPr>
          <w:p w14:paraId="3ECB1933" w14:textId="77777777" w:rsidR="00D22624" w:rsidRPr="00D22624" w:rsidRDefault="00D22624" w:rsidP="00D22624">
            <w:pPr>
              <w:jc w:val="both"/>
              <w:rPr>
                <w:b/>
              </w:rPr>
            </w:pPr>
            <w:r w:rsidRPr="00D22624">
              <w:rPr>
                <w:b/>
              </w:rPr>
              <w:t xml:space="preserve">Deadline for submission of Tenders </w:t>
            </w:r>
          </w:p>
        </w:tc>
        <w:tc>
          <w:tcPr>
            <w:tcW w:w="4536" w:type="dxa"/>
            <w:tcBorders>
              <w:top w:val="single" w:sz="4" w:space="0" w:color="auto"/>
              <w:left w:val="single" w:sz="4" w:space="0" w:color="auto"/>
              <w:bottom w:val="single" w:sz="4" w:space="0" w:color="auto"/>
              <w:right w:val="single" w:sz="4" w:space="0" w:color="auto"/>
            </w:tcBorders>
          </w:tcPr>
          <w:p w14:paraId="1092A13B" w14:textId="77777777" w:rsidR="00D22624" w:rsidRPr="00D22624" w:rsidRDefault="00D22624" w:rsidP="00D22624">
            <w:pPr>
              <w:jc w:val="both"/>
              <w:rPr>
                <w:b/>
              </w:rPr>
            </w:pPr>
            <w:r w:rsidRPr="00D22624">
              <w:rPr>
                <w:b/>
              </w:rPr>
              <w:t>17:00 on 10 November 2017</w:t>
            </w:r>
          </w:p>
        </w:tc>
      </w:tr>
      <w:tr w:rsidR="00D22624" w:rsidRPr="00D22624" w14:paraId="564513B4" w14:textId="77777777" w:rsidTr="00D22624">
        <w:trPr>
          <w:trHeight w:val="103"/>
        </w:trPr>
        <w:tc>
          <w:tcPr>
            <w:tcW w:w="4536" w:type="dxa"/>
            <w:tcBorders>
              <w:top w:val="single" w:sz="4" w:space="0" w:color="auto"/>
              <w:left w:val="single" w:sz="4" w:space="0" w:color="auto"/>
              <w:bottom w:val="single" w:sz="4" w:space="0" w:color="auto"/>
              <w:right w:val="single" w:sz="4" w:space="0" w:color="auto"/>
            </w:tcBorders>
          </w:tcPr>
          <w:p w14:paraId="09BB2D74" w14:textId="77777777" w:rsidR="00D22624" w:rsidRPr="00D22624" w:rsidRDefault="00D22624" w:rsidP="00D22624">
            <w:pPr>
              <w:jc w:val="both"/>
            </w:pPr>
            <w:r w:rsidRPr="00D22624">
              <w:t xml:space="preserve">Outcome of Tenders notified </w:t>
            </w:r>
          </w:p>
        </w:tc>
        <w:tc>
          <w:tcPr>
            <w:tcW w:w="4536" w:type="dxa"/>
            <w:tcBorders>
              <w:top w:val="single" w:sz="4" w:space="0" w:color="auto"/>
              <w:left w:val="single" w:sz="4" w:space="0" w:color="auto"/>
              <w:bottom w:val="single" w:sz="4" w:space="0" w:color="auto"/>
              <w:right w:val="single" w:sz="4" w:space="0" w:color="auto"/>
            </w:tcBorders>
          </w:tcPr>
          <w:p w14:paraId="6CCB81F2" w14:textId="087E022E" w:rsidR="00D22624" w:rsidRPr="00D22624" w:rsidRDefault="00D22624" w:rsidP="00D22624">
            <w:pPr>
              <w:jc w:val="both"/>
            </w:pPr>
            <w:r w:rsidRPr="00D22624">
              <w:t>Housing, Debt &amp; Welfare Benefits – January 2018</w:t>
            </w:r>
            <w:r w:rsidRPr="00D22624">
              <w:br/>
              <w:t xml:space="preserve">All other categories – March 2018 </w:t>
            </w:r>
          </w:p>
        </w:tc>
      </w:tr>
      <w:tr w:rsidR="00D22624" w:rsidRPr="00D22624" w14:paraId="6CC43CE3" w14:textId="77777777" w:rsidTr="00D22624">
        <w:trPr>
          <w:trHeight w:val="356"/>
        </w:trPr>
        <w:tc>
          <w:tcPr>
            <w:tcW w:w="4536" w:type="dxa"/>
            <w:tcBorders>
              <w:top w:val="single" w:sz="4" w:space="0" w:color="auto"/>
              <w:left w:val="single" w:sz="4" w:space="0" w:color="auto"/>
              <w:bottom w:val="single" w:sz="4" w:space="0" w:color="auto"/>
              <w:right w:val="single" w:sz="4" w:space="0" w:color="auto"/>
            </w:tcBorders>
          </w:tcPr>
          <w:p w14:paraId="3311C4B9" w14:textId="77777777" w:rsidR="00D22624" w:rsidRPr="00D22624" w:rsidRDefault="00D22624" w:rsidP="00D22624">
            <w:pPr>
              <w:jc w:val="both"/>
            </w:pPr>
            <w:r w:rsidRPr="00D22624">
              <w:t xml:space="preserve">Final deadline for submitting Tender verification </w:t>
            </w:r>
          </w:p>
        </w:tc>
        <w:tc>
          <w:tcPr>
            <w:tcW w:w="4536" w:type="dxa"/>
            <w:tcBorders>
              <w:top w:val="single" w:sz="4" w:space="0" w:color="auto"/>
              <w:left w:val="single" w:sz="4" w:space="0" w:color="auto"/>
              <w:bottom w:val="single" w:sz="4" w:space="0" w:color="auto"/>
              <w:right w:val="single" w:sz="4" w:space="0" w:color="auto"/>
            </w:tcBorders>
          </w:tcPr>
          <w:p w14:paraId="4BB4A900" w14:textId="77777777" w:rsidR="00D22624" w:rsidRPr="00D22624" w:rsidRDefault="00D22624" w:rsidP="00D22624">
            <w:pPr>
              <w:jc w:val="both"/>
            </w:pPr>
            <w:r w:rsidRPr="00D22624">
              <w:t xml:space="preserve">20 July 2018 </w:t>
            </w:r>
          </w:p>
        </w:tc>
      </w:tr>
      <w:tr w:rsidR="00D22624" w:rsidRPr="00D22624" w14:paraId="508F4887" w14:textId="77777777" w:rsidTr="00D22624">
        <w:trPr>
          <w:trHeight w:val="103"/>
        </w:trPr>
        <w:tc>
          <w:tcPr>
            <w:tcW w:w="4536" w:type="dxa"/>
            <w:tcBorders>
              <w:top w:val="single" w:sz="4" w:space="0" w:color="auto"/>
              <w:left w:val="single" w:sz="4" w:space="0" w:color="auto"/>
              <w:bottom w:val="single" w:sz="4" w:space="0" w:color="auto"/>
              <w:right w:val="single" w:sz="4" w:space="0" w:color="auto"/>
            </w:tcBorders>
          </w:tcPr>
          <w:p w14:paraId="3F60D324" w14:textId="77777777" w:rsidR="00D22624" w:rsidRPr="00D22624" w:rsidRDefault="00D22624" w:rsidP="00D22624">
            <w:pPr>
              <w:jc w:val="both"/>
              <w:rPr>
                <w:b/>
              </w:rPr>
            </w:pPr>
            <w:r w:rsidRPr="00D22624">
              <w:rPr>
                <w:b/>
              </w:rPr>
              <w:t xml:space="preserve">Contract Start Date </w:t>
            </w:r>
          </w:p>
        </w:tc>
        <w:tc>
          <w:tcPr>
            <w:tcW w:w="4536" w:type="dxa"/>
            <w:tcBorders>
              <w:top w:val="single" w:sz="4" w:space="0" w:color="auto"/>
              <w:left w:val="single" w:sz="4" w:space="0" w:color="auto"/>
              <w:bottom w:val="single" w:sz="4" w:space="0" w:color="auto"/>
              <w:right w:val="single" w:sz="4" w:space="0" w:color="auto"/>
            </w:tcBorders>
          </w:tcPr>
          <w:p w14:paraId="0090DD88" w14:textId="77777777" w:rsidR="00D22624" w:rsidRPr="00D22624" w:rsidRDefault="00D22624" w:rsidP="00D22624">
            <w:pPr>
              <w:jc w:val="both"/>
              <w:rPr>
                <w:b/>
              </w:rPr>
            </w:pPr>
            <w:r w:rsidRPr="00D22624">
              <w:rPr>
                <w:b/>
              </w:rPr>
              <w:t xml:space="preserve">1 September 2018 </w:t>
            </w:r>
          </w:p>
        </w:tc>
      </w:tr>
    </w:tbl>
    <w:p w14:paraId="23DE3DA2" w14:textId="77777777" w:rsidR="00D22624" w:rsidRDefault="00D22624" w:rsidP="00D22624">
      <w:pPr>
        <w:jc w:val="both"/>
      </w:pPr>
    </w:p>
    <w:p w14:paraId="1FEF45F2" w14:textId="77777777" w:rsidR="00BE484D" w:rsidRDefault="00BE484D" w:rsidP="00D22624">
      <w:pPr>
        <w:jc w:val="both"/>
      </w:pPr>
    </w:p>
    <w:p w14:paraId="395B2371" w14:textId="77777777" w:rsidR="00BE484D" w:rsidRDefault="00BE484D" w:rsidP="00D22624">
      <w:pPr>
        <w:jc w:val="both"/>
      </w:pPr>
    </w:p>
    <w:p w14:paraId="786B674F" w14:textId="77777777" w:rsidR="00BE484D" w:rsidRDefault="00BE484D" w:rsidP="00D22624">
      <w:pPr>
        <w:jc w:val="both"/>
      </w:pPr>
    </w:p>
    <w:p w14:paraId="4B6749EB" w14:textId="77777777" w:rsidR="00BE484D" w:rsidRDefault="00BE484D" w:rsidP="00D22624">
      <w:pPr>
        <w:jc w:val="both"/>
      </w:pPr>
    </w:p>
    <w:p w14:paraId="548B9EE7" w14:textId="77777777" w:rsidR="00BE484D" w:rsidRDefault="00BE484D" w:rsidP="00D22624">
      <w:pPr>
        <w:jc w:val="both"/>
      </w:pPr>
    </w:p>
    <w:p w14:paraId="425B4196" w14:textId="77777777" w:rsidR="00F64CB3" w:rsidRPr="003C5237" w:rsidRDefault="00F64CB3" w:rsidP="00F64CB3">
      <w:pPr>
        <w:keepNext/>
        <w:shd w:val="clear" w:color="auto" w:fill="00B4CD"/>
        <w:spacing w:before="240" w:after="60"/>
        <w:jc w:val="center"/>
        <w:outlineLvl w:val="0"/>
        <w:rPr>
          <w:rFonts w:ascii="Cambria" w:hAnsi="Cambria"/>
          <w:b/>
          <w:bCs/>
          <w:color w:val="00B0F0"/>
          <w:kern w:val="32"/>
          <w:sz w:val="6"/>
          <w:szCs w:val="16"/>
        </w:rPr>
      </w:pPr>
    </w:p>
    <w:p w14:paraId="41EFFE25" w14:textId="77777777" w:rsidR="00F64CB3" w:rsidRPr="005527DF" w:rsidRDefault="007238D7" w:rsidP="005527DF">
      <w:pPr>
        <w:jc w:val="center"/>
        <w:rPr>
          <w:b/>
          <w:sz w:val="28"/>
        </w:rPr>
      </w:pPr>
      <w:r>
        <w:rPr>
          <w:b/>
          <w:sz w:val="28"/>
        </w:rPr>
        <w:t>HOW TO SUCCESSFULLY COMPLETE</w:t>
      </w:r>
      <w:r w:rsidR="001447E9">
        <w:rPr>
          <w:b/>
          <w:sz w:val="28"/>
        </w:rPr>
        <w:t xml:space="preserve"> THE TENDER </w:t>
      </w:r>
    </w:p>
    <w:p w14:paraId="2EF5A570" w14:textId="77777777" w:rsidR="007238D7" w:rsidRDefault="007238D7">
      <w:pPr>
        <w:rPr>
          <w:b/>
        </w:rPr>
      </w:pPr>
    </w:p>
    <w:p w14:paraId="20D884EB" w14:textId="77777777" w:rsidR="00F50BC3" w:rsidRDefault="005527DF" w:rsidP="007629A1">
      <w:pPr>
        <w:spacing w:after="0"/>
        <w:jc w:val="both"/>
        <w:rPr>
          <w:b/>
        </w:rPr>
      </w:pPr>
      <w:r>
        <w:rPr>
          <w:b/>
        </w:rPr>
        <w:t>Manage My Profile</w:t>
      </w:r>
    </w:p>
    <w:p w14:paraId="2D6FECEF" w14:textId="77777777" w:rsidR="00F87B89" w:rsidRDefault="00F87B89" w:rsidP="007629A1">
      <w:pPr>
        <w:spacing w:after="0"/>
        <w:jc w:val="both"/>
        <w:rPr>
          <w:b/>
        </w:rPr>
      </w:pPr>
    </w:p>
    <w:p w14:paraId="39E16431" w14:textId="77777777" w:rsidR="005527DF" w:rsidRDefault="005527DF" w:rsidP="007629A1">
      <w:pPr>
        <w:spacing w:after="0"/>
        <w:jc w:val="both"/>
        <w:rPr>
          <w:rStyle w:val="Hyperlink"/>
        </w:rPr>
      </w:pPr>
      <w:r>
        <w:t xml:space="preserve">Start by visiting the home page at </w:t>
      </w:r>
      <w:hyperlink r:id="rId17" w:history="1">
        <w:r w:rsidRPr="00893C21">
          <w:rPr>
            <w:rStyle w:val="Hyperlink"/>
          </w:rPr>
          <w:t>https://legalaid.bravosolution.co.uk/web/login.shtml</w:t>
        </w:r>
      </w:hyperlink>
    </w:p>
    <w:p w14:paraId="16CD7DB3" w14:textId="77777777" w:rsidR="00F87B89" w:rsidRDefault="00F87B89" w:rsidP="007629A1">
      <w:pPr>
        <w:spacing w:after="0"/>
        <w:jc w:val="both"/>
      </w:pPr>
    </w:p>
    <w:p w14:paraId="645C03F5" w14:textId="65265961" w:rsidR="005527DF" w:rsidRDefault="005527DF" w:rsidP="007629A1">
      <w:pPr>
        <w:spacing w:after="0"/>
        <w:jc w:val="both"/>
      </w:pPr>
      <w:r>
        <w:t>Unless you are a first</w:t>
      </w:r>
      <w:r w:rsidR="00F87B89">
        <w:t>-</w:t>
      </w:r>
      <w:r>
        <w:t>time user, you will have a user name and password. Once you enter those details you may be asked to set a new password. Please ensure that the password is stored in a secure place.</w:t>
      </w:r>
    </w:p>
    <w:p w14:paraId="3910B63B" w14:textId="77777777" w:rsidR="005527DF" w:rsidRDefault="005527DF" w:rsidP="007629A1">
      <w:pPr>
        <w:spacing w:after="0"/>
        <w:jc w:val="both"/>
      </w:pPr>
      <w:r>
        <w:t xml:space="preserve">If you are a new provider or you have changed name or entity, you should register for a new account at </w:t>
      </w:r>
      <w:hyperlink r:id="rId18" w:history="1">
        <w:r w:rsidR="00D22624" w:rsidRPr="00C956A3">
          <w:rPr>
            <w:rStyle w:val="Hyperlink"/>
          </w:rPr>
          <w:t>https://legalaid.bravosolution.co.uk/esop/toolkit/initRegistration.do?_ncp=1506327155827.1087-2</w:t>
        </w:r>
      </w:hyperlink>
      <w:r w:rsidR="00D22624">
        <w:t xml:space="preserve"> </w:t>
      </w:r>
    </w:p>
    <w:p w14:paraId="512BC24F" w14:textId="77777777" w:rsidR="00F87B89" w:rsidRDefault="00F87B89" w:rsidP="007629A1">
      <w:pPr>
        <w:spacing w:after="0"/>
        <w:jc w:val="both"/>
      </w:pPr>
    </w:p>
    <w:p w14:paraId="16CA387A" w14:textId="77777777" w:rsidR="00F87B89" w:rsidRDefault="00273945" w:rsidP="007629A1">
      <w:pPr>
        <w:spacing w:after="0"/>
      </w:pPr>
      <w:r>
        <w:rPr>
          <w:noProof/>
          <w:lang w:eastAsia="en-GB"/>
        </w:rPr>
        <w:drawing>
          <wp:anchor distT="0" distB="0" distL="114300" distR="114300" simplePos="0" relativeHeight="251674624" behindDoc="0" locked="0" layoutInCell="1" allowOverlap="1" wp14:anchorId="0647AF66" wp14:editId="07209C0C">
            <wp:simplePos x="0" y="0"/>
            <wp:positionH relativeFrom="column">
              <wp:posOffset>0</wp:posOffset>
            </wp:positionH>
            <wp:positionV relativeFrom="paragraph">
              <wp:posOffset>-2038</wp:posOffset>
            </wp:positionV>
            <wp:extent cx="322558" cy="360584"/>
            <wp:effectExtent l="0" t="0" r="1905" b="1905"/>
            <wp:wrapNone/>
            <wp:docPr id="21" name="Picture 21" descr="Image result for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2558" cy="360584"/>
                    </a:xfrm>
                    <a:prstGeom prst="rect">
                      <a:avLst/>
                    </a:prstGeom>
                    <a:noFill/>
                    <a:ln>
                      <a:noFill/>
                    </a:ln>
                  </pic:spPr>
                </pic:pic>
              </a:graphicData>
            </a:graphic>
          </wp:anchor>
        </w:drawing>
      </w:r>
      <w:r>
        <w:t xml:space="preserve">There </w:t>
      </w:r>
      <w:proofErr w:type="spellStart"/>
      <w:r>
        <w:t>There</w:t>
      </w:r>
      <w:proofErr w:type="spellEnd"/>
      <w:r>
        <w:t xml:space="preserve"> is good guidance about registering a new account at: </w:t>
      </w:r>
    </w:p>
    <w:p w14:paraId="66E569BF" w14:textId="77777777" w:rsidR="00273945" w:rsidRDefault="0038238C" w:rsidP="007629A1">
      <w:pPr>
        <w:spacing w:after="0"/>
      </w:pPr>
      <w:hyperlink r:id="rId20" w:history="1">
        <w:r w:rsidR="00273945" w:rsidRPr="00C956A3">
          <w:rPr>
            <w:rStyle w:val="Hyperlink"/>
          </w:rPr>
          <w:t>https://legalaid.bravosolution.co.uk/web/docs/QG01%20Registration%20guide.pdf</w:t>
        </w:r>
      </w:hyperlink>
    </w:p>
    <w:p w14:paraId="0A16C4E4" w14:textId="77777777" w:rsidR="00F87B89" w:rsidRDefault="00F87B89" w:rsidP="007629A1">
      <w:pPr>
        <w:spacing w:after="0"/>
        <w:jc w:val="both"/>
      </w:pPr>
    </w:p>
    <w:p w14:paraId="268C2603" w14:textId="77777777" w:rsidR="00273945" w:rsidRDefault="00273945" w:rsidP="007629A1">
      <w:pPr>
        <w:spacing w:after="0"/>
        <w:jc w:val="both"/>
      </w:pPr>
      <w:r>
        <w:t>If registering for a new account, please disregard the suggestion of using a mother’s maiden name as the user verification question as it is surprisingly easy for criminals to find this through social media. Please instead use a question where the answer cannot easily be found online.</w:t>
      </w:r>
    </w:p>
    <w:p w14:paraId="699B09FE" w14:textId="77777777" w:rsidR="00F87B89" w:rsidRDefault="00F87B89" w:rsidP="007629A1">
      <w:pPr>
        <w:spacing w:after="0"/>
        <w:jc w:val="both"/>
      </w:pPr>
    </w:p>
    <w:p w14:paraId="7BDB4B5B" w14:textId="77777777" w:rsidR="005527DF" w:rsidRDefault="005527DF" w:rsidP="007629A1">
      <w:pPr>
        <w:spacing w:after="0"/>
        <w:jc w:val="both"/>
      </w:pPr>
      <w:r>
        <w:t xml:space="preserve">Even if you haven’t changed name or entity, it’s important to start by selecting ‘Manage my Profile’ option in the top left hand corner of the screen. </w:t>
      </w:r>
    </w:p>
    <w:p w14:paraId="26E6EC74" w14:textId="77777777" w:rsidR="00F87B89" w:rsidRDefault="00F87B89" w:rsidP="007629A1">
      <w:pPr>
        <w:spacing w:after="0"/>
        <w:jc w:val="both"/>
      </w:pPr>
    </w:p>
    <w:p w14:paraId="0409E481" w14:textId="77777777" w:rsidR="00D22624" w:rsidRDefault="005527DF" w:rsidP="007629A1">
      <w:pPr>
        <w:spacing w:after="0"/>
        <w:jc w:val="both"/>
      </w:pPr>
      <w:r>
        <w:t xml:space="preserve">Check that the details about the firm are accurate and up to date. Most importantly, ensure that at least two, preferably three, email addresses are included in the organisational email address field. </w:t>
      </w:r>
      <w:r w:rsidR="004E1D23">
        <w:t xml:space="preserve">Alternatively (and probably best practice) you may add additional users to the system. The advantage of having additional users is that it is easier to work out who did what if anything goes wrong! </w:t>
      </w:r>
    </w:p>
    <w:p w14:paraId="0A8FCB7C" w14:textId="77777777" w:rsidR="004A6386" w:rsidRDefault="004A6386" w:rsidP="007629A1">
      <w:pPr>
        <w:spacing w:after="0"/>
        <w:jc w:val="both"/>
        <w:rPr>
          <w:b/>
        </w:rPr>
      </w:pPr>
    </w:p>
    <w:p w14:paraId="497E0460" w14:textId="77777777" w:rsidR="00362B9C" w:rsidRDefault="00362B9C" w:rsidP="007629A1">
      <w:pPr>
        <w:spacing w:after="0"/>
        <w:jc w:val="both"/>
        <w:rPr>
          <w:b/>
        </w:rPr>
      </w:pPr>
    </w:p>
    <w:p w14:paraId="027AB6CA" w14:textId="77777777" w:rsidR="00362B9C" w:rsidRDefault="004E1D23" w:rsidP="007629A1">
      <w:pPr>
        <w:spacing w:after="0"/>
        <w:jc w:val="both"/>
        <w:rPr>
          <w:b/>
        </w:rPr>
      </w:pPr>
      <w:r>
        <w:rPr>
          <w:b/>
        </w:rPr>
        <w:t xml:space="preserve">Selection Questionnaire </w:t>
      </w:r>
    </w:p>
    <w:p w14:paraId="38C303AD" w14:textId="77777777" w:rsidR="00362B9C" w:rsidRDefault="00362B9C" w:rsidP="007629A1">
      <w:pPr>
        <w:spacing w:after="0"/>
        <w:jc w:val="both"/>
        <w:rPr>
          <w:b/>
        </w:rPr>
      </w:pPr>
    </w:p>
    <w:p w14:paraId="2C70E8B4" w14:textId="27D03A11" w:rsidR="004A6386" w:rsidRPr="007629A1" w:rsidRDefault="004E1D23" w:rsidP="007629A1">
      <w:pPr>
        <w:spacing w:after="0"/>
        <w:jc w:val="both"/>
        <w:rPr>
          <w:u w:val="single"/>
        </w:rPr>
      </w:pPr>
      <w:r w:rsidRPr="007629A1">
        <w:rPr>
          <w:u w:val="single"/>
        </w:rPr>
        <w:t>Important</w:t>
      </w:r>
    </w:p>
    <w:p w14:paraId="029C1E9B" w14:textId="77777777" w:rsidR="00F87B89" w:rsidRPr="004A6386" w:rsidRDefault="00F87B89" w:rsidP="007629A1">
      <w:pPr>
        <w:spacing w:after="0"/>
        <w:jc w:val="both"/>
        <w:rPr>
          <w:b/>
        </w:rPr>
      </w:pPr>
    </w:p>
    <w:p w14:paraId="3A4ED249" w14:textId="77777777" w:rsidR="00BE484D" w:rsidRDefault="004E1D23" w:rsidP="00BE484D">
      <w:pPr>
        <w:spacing w:after="0"/>
        <w:jc w:val="both"/>
      </w:pPr>
      <w:r>
        <w:rPr>
          <w:noProof/>
          <w:lang w:eastAsia="en-GB"/>
        </w:rPr>
        <w:drawing>
          <wp:anchor distT="0" distB="0" distL="114300" distR="114300" simplePos="0" relativeHeight="251676672" behindDoc="0" locked="0" layoutInCell="1" allowOverlap="1" wp14:anchorId="090F307C" wp14:editId="26C3BA66">
            <wp:simplePos x="0" y="0"/>
            <wp:positionH relativeFrom="column">
              <wp:posOffset>0</wp:posOffset>
            </wp:positionH>
            <wp:positionV relativeFrom="paragraph">
              <wp:posOffset>-635</wp:posOffset>
            </wp:positionV>
            <wp:extent cx="322558" cy="360584"/>
            <wp:effectExtent l="0" t="0" r="1905" b="1905"/>
            <wp:wrapNone/>
            <wp:docPr id="22" name="Picture 22" descr="Image result for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2558" cy="360584"/>
                    </a:xfrm>
                    <a:prstGeom prst="rect">
                      <a:avLst/>
                    </a:prstGeom>
                    <a:noFill/>
                    <a:ln>
                      <a:noFill/>
                    </a:ln>
                  </pic:spPr>
                </pic:pic>
              </a:graphicData>
            </a:graphic>
          </wp:anchor>
        </w:drawing>
      </w:r>
      <w:r w:rsidR="00D22624">
        <w:t>The</w:t>
      </w:r>
      <w:r w:rsidR="004A6386">
        <w:t xml:space="preserve"> o</w:t>
      </w:r>
      <w:r>
        <w:t xml:space="preserve"> </w:t>
      </w:r>
      <w:r w:rsidR="00BE484D">
        <w:t xml:space="preserve">There is an inherent flaw to be wary of and which will cause confusion.  The SQ is not separately listed </w:t>
      </w:r>
      <w:r w:rsidR="00095A6F">
        <w:t xml:space="preserve">shown </w:t>
      </w:r>
      <w:r w:rsidR="00BE484D">
        <w:t>as an option in any part of the portal. It is not contained in the PQQ or ITT sections of the portal and bidders may be excused for considering that it is missing entirely.</w:t>
      </w:r>
    </w:p>
    <w:p w14:paraId="7CE61A47" w14:textId="77777777" w:rsidR="00BE484D" w:rsidRDefault="00BE484D" w:rsidP="00BE484D">
      <w:pPr>
        <w:spacing w:after="0"/>
        <w:jc w:val="both"/>
      </w:pPr>
    </w:p>
    <w:p w14:paraId="228B0BE2" w14:textId="77777777" w:rsidR="00BE484D" w:rsidRDefault="00BE484D" w:rsidP="00BE484D">
      <w:pPr>
        <w:spacing w:after="0"/>
        <w:jc w:val="both"/>
      </w:pPr>
      <w:r>
        <w:t xml:space="preserve">The organisation Selection Questionnaire is hidden until you ‘express interest’ in an individual bid ITT.  </w:t>
      </w:r>
    </w:p>
    <w:p w14:paraId="4B539AC4" w14:textId="48DADF20" w:rsidR="004A6386" w:rsidRDefault="00BE484D" w:rsidP="007629A1">
      <w:pPr>
        <w:spacing w:after="0"/>
        <w:jc w:val="both"/>
      </w:pPr>
      <w:r>
        <w:t>On the home page, select ‘ITTs open to all suppliers’ and express interest in the areas of law you are interested in bidding.  Once you have expressed an interest in at least one ITT, the system will ‘release’ the SQ.</w:t>
      </w:r>
      <w:r w:rsidR="00362B9C">
        <w:t xml:space="preserve">  T</w:t>
      </w:r>
      <w:r w:rsidR="006143EF">
        <w:t>his will move th</w:t>
      </w:r>
      <w:r w:rsidR="00362B9C">
        <w:t>e</w:t>
      </w:r>
      <w:r w:rsidR="006143EF">
        <w:t xml:space="preserve"> </w:t>
      </w:r>
      <w:r w:rsidR="004E1D23">
        <w:t xml:space="preserve">tenders </w:t>
      </w:r>
      <w:r w:rsidR="006143EF" w:rsidRPr="006143EF">
        <w:rPr>
          <w:b/>
          <w:i/>
        </w:rPr>
        <w:t>and</w:t>
      </w:r>
      <w:r w:rsidR="006143EF">
        <w:t xml:space="preserve"> the organisation </w:t>
      </w:r>
      <w:r w:rsidR="004E1D23">
        <w:t xml:space="preserve">SQ </w:t>
      </w:r>
      <w:r w:rsidR="006143EF">
        <w:t>into the ‘My ITTs’ section of the system.</w:t>
      </w:r>
    </w:p>
    <w:p w14:paraId="61653DD9" w14:textId="77777777" w:rsidR="00F87B89" w:rsidRDefault="00F87B89" w:rsidP="007629A1">
      <w:pPr>
        <w:spacing w:after="0"/>
        <w:jc w:val="both"/>
      </w:pPr>
    </w:p>
    <w:p w14:paraId="04029636" w14:textId="77777777" w:rsidR="00362B9C" w:rsidRDefault="00362B9C" w:rsidP="007629A1">
      <w:pPr>
        <w:spacing w:after="0"/>
        <w:jc w:val="both"/>
      </w:pPr>
    </w:p>
    <w:p w14:paraId="72494A10" w14:textId="77777777" w:rsidR="00362B9C" w:rsidRDefault="00362B9C" w:rsidP="007629A1">
      <w:pPr>
        <w:spacing w:after="0"/>
        <w:jc w:val="both"/>
      </w:pPr>
    </w:p>
    <w:p w14:paraId="00AB4DB7" w14:textId="427E8D10" w:rsidR="00F50BC3" w:rsidRDefault="006143EF" w:rsidP="007629A1">
      <w:pPr>
        <w:spacing w:after="0"/>
        <w:jc w:val="both"/>
      </w:pPr>
      <w:r>
        <w:lastRenderedPageBreak/>
        <w:t xml:space="preserve">The </w:t>
      </w:r>
      <w:r w:rsidR="00362B9C">
        <w:t>SQ</w:t>
      </w:r>
      <w:r w:rsidR="007D4EAF">
        <w:t xml:space="preserve"> consists of four</w:t>
      </w:r>
      <w:r>
        <w:t xml:space="preserve"> sections:</w:t>
      </w:r>
    </w:p>
    <w:p w14:paraId="46D1095F" w14:textId="77777777" w:rsidR="00F87B89" w:rsidRDefault="00F87B89" w:rsidP="007629A1">
      <w:pPr>
        <w:spacing w:after="0"/>
        <w:jc w:val="both"/>
      </w:pPr>
    </w:p>
    <w:p w14:paraId="5C615B93" w14:textId="77777777" w:rsidR="00F50BC3" w:rsidRDefault="00F50BC3" w:rsidP="007629A1">
      <w:pPr>
        <w:pStyle w:val="ListParagraph"/>
        <w:numPr>
          <w:ilvl w:val="0"/>
          <w:numId w:val="4"/>
        </w:numPr>
        <w:spacing w:after="0"/>
        <w:jc w:val="both"/>
      </w:pPr>
      <w:r>
        <w:t xml:space="preserve">Section A: </w:t>
      </w:r>
      <w:r w:rsidR="006143EF">
        <w:t>Organisation and Contact Details</w:t>
      </w:r>
    </w:p>
    <w:p w14:paraId="1E030872" w14:textId="77777777" w:rsidR="00F50BC3" w:rsidRDefault="00F50BC3" w:rsidP="007629A1">
      <w:pPr>
        <w:pStyle w:val="ListParagraph"/>
        <w:numPr>
          <w:ilvl w:val="0"/>
          <w:numId w:val="4"/>
        </w:numPr>
        <w:spacing w:after="0"/>
        <w:jc w:val="both"/>
      </w:pPr>
      <w:r>
        <w:t xml:space="preserve">Section B: </w:t>
      </w:r>
      <w:r w:rsidR="006143EF">
        <w:t>Grounds for Mandatory Exclusion</w:t>
      </w:r>
    </w:p>
    <w:p w14:paraId="7567C26C" w14:textId="25F756A3" w:rsidR="00F50BC3" w:rsidRDefault="00F50BC3" w:rsidP="007629A1">
      <w:pPr>
        <w:pStyle w:val="ListParagraph"/>
        <w:numPr>
          <w:ilvl w:val="0"/>
          <w:numId w:val="4"/>
        </w:numPr>
        <w:spacing w:after="0"/>
        <w:jc w:val="both"/>
      </w:pPr>
      <w:r>
        <w:t xml:space="preserve">Section C: </w:t>
      </w:r>
      <w:r w:rsidR="006143EF">
        <w:t>Ground</w:t>
      </w:r>
      <w:r w:rsidR="002D2852">
        <w:t>s</w:t>
      </w:r>
      <w:r w:rsidR="006143EF">
        <w:t xml:space="preserve"> for Discretionary Exclusion</w:t>
      </w:r>
    </w:p>
    <w:p w14:paraId="4C4F8E4E" w14:textId="39CC970D" w:rsidR="00F87B89" w:rsidRPr="00720FD4" w:rsidRDefault="004E1D23" w:rsidP="007629A1">
      <w:pPr>
        <w:pStyle w:val="ListParagraph"/>
        <w:numPr>
          <w:ilvl w:val="0"/>
          <w:numId w:val="4"/>
        </w:numPr>
        <w:spacing w:after="0"/>
        <w:jc w:val="both"/>
      </w:pPr>
      <w:r>
        <w:t>Section D</w:t>
      </w:r>
      <w:r w:rsidR="00F50BC3">
        <w:t xml:space="preserve">: </w:t>
      </w:r>
      <w:r w:rsidR="006143EF">
        <w:t>Declarations</w:t>
      </w:r>
    </w:p>
    <w:p w14:paraId="23131F81" w14:textId="77777777" w:rsidR="00F87B89" w:rsidRDefault="00F87B89" w:rsidP="00720FD4">
      <w:pPr>
        <w:pStyle w:val="Default"/>
        <w:jc w:val="both"/>
        <w:rPr>
          <w:rFonts w:asciiTheme="minorHAnsi" w:hAnsiTheme="minorHAnsi"/>
          <w:sz w:val="22"/>
          <w:szCs w:val="22"/>
        </w:rPr>
      </w:pPr>
    </w:p>
    <w:p w14:paraId="2FAC512F" w14:textId="77777777" w:rsidR="0097758B" w:rsidRDefault="006143EF" w:rsidP="00720FD4">
      <w:pPr>
        <w:pStyle w:val="Default"/>
        <w:jc w:val="both"/>
        <w:rPr>
          <w:rFonts w:asciiTheme="minorHAnsi" w:hAnsiTheme="minorHAnsi"/>
          <w:sz w:val="22"/>
          <w:szCs w:val="22"/>
        </w:rPr>
      </w:pPr>
      <w:r w:rsidRPr="0097758B">
        <w:rPr>
          <w:rFonts w:asciiTheme="minorHAnsi" w:hAnsiTheme="minorHAnsi"/>
          <w:sz w:val="22"/>
          <w:szCs w:val="22"/>
          <w:u w:val="single"/>
        </w:rPr>
        <w:t>Section</w:t>
      </w:r>
      <w:r w:rsidR="00DC5D05" w:rsidRPr="0097758B">
        <w:rPr>
          <w:rFonts w:asciiTheme="minorHAnsi" w:hAnsiTheme="minorHAnsi"/>
          <w:sz w:val="22"/>
          <w:szCs w:val="22"/>
          <w:u w:val="single"/>
        </w:rPr>
        <w:t xml:space="preserve"> A</w:t>
      </w:r>
      <w:r w:rsidR="00DC5D05">
        <w:rPr>
          <w:rFonts w:asciiTheme="minorHAnsi" w:hAnsiTheme="minorHAnsi"/>
          <w:sz w:val="22"/>
          <w:szCs w:val="22"/>
        </w:rPr>
        <w:t xml:space="preserve"> </w:t>
      </w:r>
    </w:p>
    <w:p w14:paraId="00B35032" w14:textId="77777777" w:rsidR="00684266" w:rsidRDefault="00684266" w:rsidP="00720FD4">
      <w:pPr>
        <w:pStyle w:val="Default"/>
        <w:jc w:val="both"/>
        <w:rPr>
          <w:rFonts w:asciiTheme="minorHAnsi" w:hAnsiTheme="minorHAnsi"/>
          <w:sz w:val="22"/>
          <w:szCs w:val="22"/>
        </w:rPr>
      </w:pPr>
    </w:p>
    <w:p w14:paraId="7A1832A7" w14:textId="77777777" w:rsidR="00FC6B14" w:rsidRDefault="0097758B" w:rsidP="00720FD4">
      <w:pPr>
        <w:pStyle w:val="Default"/>
        <w:jc w:val="both"/>
        <w:rPr>
          <w:rFonts w:asciiTheme="minorHAnsi" w:hAnsiTheme="minorHAnsi"/>
          <w:sz w:val="22"/>
          <w:szCs w:val="22"/>
        </w:rPr>
      </w:pPr>
      <w:r>
        <w:rPr>
          <w:rFonts w:asciiTheme="minorHAnsi" w:hAnsiTheme="minorHAnsi"/>
          <w:sz w:val="22"/>
          <w:szCs w:val="22"/>
        </w:rPr>
        <w:t xml:space="preserve">Section A </w:t>
      </w:r>
      <w:r w:rsidR="006143EF">
        <w:rPr>
          <w:rFonts w:asciiTheme="minorHAnsi" w:hAnsiTheme="minorHAnsi"/>
          <w:sz w:val="22"/>
          <w:szCs w:val="22"/>
        </w:rPr>
        <w:t xml:space="preserve">asks for information about the organisation. </w:t>
      </w:r>
      <w:r w:rsidR="00FC6B14">
        <w:rPr>
          <w:rFonts w:asciiTheme="minorHAnsi" w:hAnsiTheme="minorHAnsi"/>
          <w:sz w:val="22"/>
          <w:szCs w:val="22"/>
        </w:rPr>
        <w:t xml:space="preserve">Do ensure that your address is correct and matches the full address details on the Law Society’s database at </w:t>
      </w:r>
      <w:hyperlink r:id="rId21" w:history="1">
        <w:r w:rsidR="00FC6B14" w:rsidRPr="00C956A3">
          <w:rPr>
            <w:rStyle w:val="Hyperlink"/>
            <w:rFonts w:asciiTheme="minorHAnsi" w:hAnsiTheme="minorHAnsi"/>
            <w:sz w:val="22"/>
            <w:szCs w:val="22"/>
          </w:rPr>
          <w:t>http://solicitors.lawsociety.org.uk/</w:t>
        </w:r>
      </w:hyperlink>
    </w:p>
    <w:p w14:paraId="0D5C1C1F" w14:textId="77777777" w:rsidR="00FC6B14" w:rsidRDefault="00FC6B14" w:rsidP="00720FD4">
      <w:pPr>
        <w:pStyle w:val="Default"/>
        <w:jc w:val="both"/>
        <w:rPr>
          <w:rFonts w:asciiTheme="minorHAnsi" w:hAnsiTheme="minorHAnsi"/>
          <w:sz w:val="22"/>
          <w:szCs w:val="22"/>
        </w:rPr>
      </w:pPr>
    </w:p>
    <w:p w14:paraId="21AF7C0C" w14:textId="77777777" w:rsidR="001142FF" w:rsidRDefault="006143EF" w:rsidP="00720FD4">
      <w:pPr>
        <w:pStyle w:val="Default"/>
        <w:jc w:val="both"/>
        <w:rPr>
          <w:rFonts w:asciiTheme="minorHAnsi" w:hAnsiTheme="minorHAnsi"/>
          <w:sz w:val="22"/>
          <w:szCs w:val="22"/>
        </w:rPr>
      </w:pPr>
      <w:r>
        <w:rPr>
          <w:rFonts w:asciiTheme="minorHAnsi" w:hAnsiTheme="minorHAnsi"/>
          <w:sz w:val="22"/>
          <w:szCs w:val="22"/>
        </w:rPr>
        <w:t xml:space="preserve">Most of this </w:t>
      </w:r>
      <w:r w:rsidR="00FC6B14">
        <w:rPr>
          <w:rFonts w:asciiTheme="minorHAnsi" w:hAnsiTheme="minorHAnsi"/>
          <w:sz w:val="22"/>
          <w:szCs w:val="22"/>
        </w:rPr>
        <w:t xml:space="preserve">section is relatively </w:t>
      </w:r>
      <w:r>
        <w:rPr>
          <w:rFonts w:asciiTheme="minorHAnsi" w:hAnsiTheme="minorHAnsi"/>
          <w:sz w:val="22"/>
          <w:szCs w:val="22"/>
        </w:rPr>
        <w:t xml:space="preserve">straightforward but there are some fields that we see completed incorrectly </w:t>
      </w:r>
      <w:r w:rsidR="007238D7">
        <w:rPr>
          <w:rFonts w:asciiTheme="minorHAnsi" w:hAnsiTheme="minorHAnsi"/>
          <w:sz w:val="22"/>
          <w:szCs w:val="22"/>
        </w:rPr>
        <w:t xml:space="preserve">such as the Legal Aid Account Number. </w:t>
      </w:r>
      <w:r w:rsidR="001142FF">
        <w:rPr>
          <w:rFonts w:asciiTheme="minorHAnsi" w:hAnsiTheme="minorHAnsi"/>
          <w:sz w:val="22"/>
          <w:szCs w:val="22"/>
        </w:rPr>
        <w:t xml:space="preserve"> </w:t>
      </w:r>
    </w:p>
    <w:p w14:paraId="6436A755" w14:textId="77777777" w:rsidR="006143EF" w:rsidRDefault="006143EF" w:rsidP="00720FD4">
      <w:pPr>
        <w:pStyle w:val="Default"/>
        <w:jc w:val="both"/>
        <w:rPr>
          <w:rFonts w:asciiTheme="minorHAnsi" w:hAnsiTheme="minorHAnsi"/>
          <w:sz w:val="22"/>
          <w:szCs w:val="22"/>
        </w:rPr>
      </w:pPr>
    </w:p>
    <w:p w14:paraId="1FBE52F4" w14:textId="78CB9E31" w:rsidR="006143EF" w:rsidRDefault="00452CAD" w:rsidP="00720FD4">
      <w:pPr>
        <w:pStyle w:val="Default"/>
        <w:jc w:val="both"/>
        <w:rPr>
          <w:rFonts w:asciiTheme="minorHAnsi" w:hAnsiTheme="minorHAnsi"/>
          <w:sz w:val="22"/>
          <w:szCs w:val="22"/>
        </w:rPr>
      </w:pPr>
      <w:r>
        <w:rPr>
          <w:noProof/>
          <w:lang w:eastAsia="en-GB"/>
        </w:rPr>
        <w:drawing>
          <wp:inline distT="0" distB="0" distL="0" distR="0" wp14:anchorId="3DD29B1E" wp14:editId="5395B35A">
            <wp:extent cx="433065" cy="484118"/>
            <wp:effectExtent l="0" t="0" r="5715" b="0"/>
            <wp:docPr id="6" name="Picture 6" descr="Image result for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149" cy="499863"/>
                    </a:xfrm>
                    <a:prstGeom prst="rect">
                      <a:avLst/>
                    </a:prstGeom>
                    <a:noFill/>
                    <a:ln>
                      <a:noFill/>
                    </a:ln>
                  </pic:spPr>
                </pic:pic>
              </a:graphicData>
            </a:graphic>
          </wp:inline>
        </w:drawing>
      </w:r>
      <w:r w:rsidR="006143EF">
        <w:rPr>
          <w:rFonts w:asciiTheme="minorHAnsi" w:hAnsiTheme="minorHAnsi"/>
          <w:sz w:val="22"/>
          <w:szCs w:val="22"/>
        </w:rPr>
        <w:t xml:space="preserve">Ensure that the Legal Aid Account number is correct. The ‘number’ is always a number followed by a letter and then </w:t>
      </w:r>
      <w:r w:rsidR="00362B9C">
        <w:rPr>
          <w:rFonts w:asciiTheme="minorHAnsi" w:hAnsiTheme="minorHAnsi"/>
          <w:sz w:val="22"/>
          <w:szCs w:val="22"/>
        </w:rPr>
        <w:t>three</w:t>
      </w:r>
      <w:r w:rsidR="006143EF">
        <w:rPr>
          <w:rFonts w:asciiTheme="minorHAnsi" w:hAnsiTheme="minorHAnsi"/>
          <w:sz w:val="22"/>
          <w:szCs w:val="22"/>
        </w:rPr>
        <w:t xml:space="preserve"> numbers and finished with a letter e.g. 1A234B</w:t>
      </w:r>
      <w:r w:rsidR="001142FF">
        <w:rPr>
          <w:rFonts w:asciiTheme="minorHAnsi" w:hAnsiTheme="minorHAnsi"/>
          <w:sz w:val="22"/>
          <w:szCs w:val="22"/>
        </w:rPr>
        <w:t>.</w:t>
      </w:r>
    </w:p>
    <w:p w14:paraId="638123C5" w14:textId="77777777" w:rsidR="006143EF" w:rsidRDefault="006143EF" w:rsidP="00720FD4">
      <w:pPr>
        <w:pStyle w:val="Default"/>
        <w:jc w:val="both"/>
        <w:rPr>
          <w:rFonts w:asciiTheme="minorHAnsi" w:hAnsiTheme="minorHAnsi"/>
          <w:sz w:val="22"/>
          <w:szCs w:val="22"/>
        </w:rPr>
      </w:pPr>
    </w:p>
    <w:p w14:paraId="6C462131" w14:textId="15192FBD" w:rsidR="006143EF" w:rsidRDefault="006143EF" w:rsidP="00720FD4">
      <w:pPr>
        <w:pStyle w:val="Default"/>
        <w:jc w:val="both"/>
        <w:rPr>
          <w:rFonts w:asciiTheme="minorHAnsi" w:hAnsiTheme="minorHAnsi"/>
          <w:sz w:val="22"/>
          <w:szCs w:val="22"/>
        </w:rPr>
      </w:pPr>
      <w:r>
        <w:rPr>
          <w:rFonts w:asciiTheme="minorHAnsi" w:hAnsiTheme="minorHAnsi"/>
          <w:sz w:val="22"/>
          <w:szCs w:val="22"/>
        </w:rPr>
        <w:t xml:space="preserve">You will note that this section asks for </w:t>
      </w:r>
      <w:r w:rsidR="00720FD4">
        <w:rPr>
          <w:rFonts w:asciiTheme="minorHAnsi" w:hAnsiTheme="minorHAnsi"/>
          <w:sz w:val="22"/>
          <w:szCs w:val="22"/>
        </w:rPr>
        <w:t xml:space="preserve">the firm’s Registered or </w:t>
      </w:r>
      <w:r>
        <w:rPr>
          <w:rFonts w:asciiTheme="minorHAnsi" w:hAnsiTheme="minorHAnsi"/>
          <w:sz w:val="22"/>
          <w:szCs w:val="22"/>
        </w:rPr>
        <w:t xml:space="preserve">Head Office address. </w:t>
      </w:r>
      <w:r w:rsidR="00720FD4">
        <w:rPr>
          <w:rFonts w:asciiTheme="minorHAnsi" w:hAnsiTheme="minorHAnsi"/>
          <w:sz w:val="22"/>
          <w:szCs w:val="22"/>
        </w:rPr>
        <w:t xml:space="preserve"> The office addresses from which you will deliver the services (if different) will need to be set out in the individual ITTs.</w:t>
      </w:r>
    </w:p>
    <w:p w14:paraId="597452D4" w14:textId="77777777" w:rsidR="007238D7" w:rsidRDefault="007238D7" w:rsidP="00720FD4">
      <w:pPr>
        <w:pStyle w:val="Default"/>
        <w:jc w:val="both"/>
        <w:rPr>
          <w:rFonts w:asciiTheme="minorHAnsi" w:hAnsiTheme="minorHAnsi"/>
          <w:sz w:val="22"/>
          <w:szCs w:val="22"/>
        </w:rPr>
      </w:pPr>
    </w:p>
    <w:p w14:paraId="5E9A7CEF" w14:textId="77777777" w:rsidR="00452CAD" w:rsidRDefault="00452CAD" w:rsidP="00720FD4">
      <w:pPr>
        <w:pStyle w:val="Default"/>
        <w:jc w:val="both"/>
        <w:rPr>
          <w:rFonts w:asciiTheme="minorHAnsi" w:hAnsiTheme="minorHAnsi"/>
          <w:sz w:val="22"/>
          <w:szCs w:val="22"/>
        </w:rPr>
      </w:pPr>
    </w:p>
    <w:p w14:paraId="67B7C892" w14:textId="77777777" w:rsidR="00452CAD" w:rsidRDefault="00452CAD" w:rsidP="00720FD4">
      <w:pPr>
        <w:pStyle w:val="Default"/>
        <w:jc w:val="both"/>
        <w:rPr>
          <w:rFonts w:asciiTheme="minorHAnsi" w:hAnsiTheme="minorHAnsi"/>
          <w:sz w:val="22"/>
          <w:szCs w:val="22"/>
        </w:rPr>
      </w:pPr>
      <w:r>
        <w:rPr>
          <w:noProof/>
          <w:lang w:eastAsia="en-GB"/>
        </w:rPr>
        <w:drawing>
          <wp:inline distT="0" distB="0" distL="0" distR="0" wp14:anchorId="310E5B4A" wp14:editId="0ED0E653">
            <wp:extent cx="547456" cy="564763"/>
            <wp:effectExtent l="0" t="0" r="5080" b="6985"/>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3943" cy="571455"/>
                    </a:xfrm>
                    <a:prstGeom prst="rect">
                      <a:avLst/>
                    </a:prstGeom>
                    <a:noFill/>
                    <a:ln>
                      <a:noFill/>
                    </a:ln>
                  </pic:spPr>
                </pic:pic>
              </a:graphicData>
            </a:graphic>
          </wp:inline>
        </w:drawing>
      </w:r>
      <w:r w:rsidR="003F166A">
        <w:rPr>
          <w:rFonts w:asciiTheme="minorHAnsi" w:hAnsiTheme="minorHAnsi"/>
          <w:sz w:val="22"/>
          <w:szCs w:val="22"/>
        </w:rPr>
        <w:t>Take care when answering question A.4.i – Intended trading status. Please note that for the first time, the LAA will refuse to accept any requests to change legal entity between the date the tender window closes (10 November 2017) and the Contract Start Date (1 September 2018). This is probably because of the sheer number of firms that change entity during a tender window.</w:t>
      </w:r>
    </w:p>
    <w:p w14:paraId="10966A86" w14:textId="77777777" w:rsidR="00452CAD" w:rsidRDefault="00452CAD" w:rsidP="00720FD4">
      <w:pPr>
        <w:pStyle w:val="Default"/>
        <w:jc w:val="both"/>
        <w:rPr>
          <w:rFonts w:asciiTheme="minorHAnsi" w:hAnsiTheme="minorHAnsi"/>
          <w:sz w:val="22"/>
          <w:szCs w:val="22"/>
        </w:rPr>
      </w:pPr>
    </w:p>
    <w:p w14:paraId="7DD57D61" w14:textId="77777777" w:rsidR="00452CAD" w:rsidRDefault="00452CAD" w:rsidP="00720FD4">
      <w:pPr>
        <w:pStyle w:val="Default"/>
        <w:jc w:val="both"/>
        <w:rPr>
          <w:rFonts w:asciiTheme="minorHAnsi" w:hAnsiTheme="minorHAnsi"/>
          <w:sz w:val="22"/>
          <w:szCs w:val="22"/>
        </w:rPr>
      </w:pPr>
      <w:r>
        <w:rPr>
          <w:rFonts w:asciiTheme="minorHAnsi" w:hAnsiTheme="minorHAnsi"/>
          <w:sz w:val="22"/>
          <w:szCs w:val="22"/>
        </w:rPr>
        <w:t xml:space="preserve">As you are working your way through the tender, ensure that you press ‘Save Changes’ </w:t>
      </w:r>
      <w:r w:rsidR="0097758B">
        <w:rPr>
          <w:rFonts w:asciiTheme="minorHAnsi" w:hAnsiTheme="minorHAnsi"/>
          <w:sz w:val="22"/>
          <w:szCs w:val="22"/>
        </w:rPr>
        <w:t>regularly</w:t>
      </w:r>
      <w:r>
        <w:rPr>
          <w:rFonts w:asciiTheme="minorHAnsi" w:hAnsiTheme="minorHAnsi"/>
          <w:sz w:val="22"/>
          <w:szCs w:val="22"/>
        </w:rPr>
        <w:t xml:space="preserve"> otherwise you will lose some or all of what you have inputted.</w:t>
      </w:r>
    </w:p>
    <w:p w14:paraId="359C3EF9" w14:textId="77777777" w:rsidR="00452CAD" w:rsidRDefault="00452CAD" w:rsidP="00720FD4">
      <w:pPr>
        <w:pStyle w:val="Default"/>
        <w:jc w:val="both"/>
        <w:rPr>
          <w:rFonts w:asciiTheme="minorHAnsi" w:hAnsiTheme="minorHAnsi"/>
          <w:sz w:val="22"/>
          <w:szCs w:val="22"/>
        </w:rPr>
      </w:pPr>
    </w:p>
    <w:p w14:paraId="4628AD87" w14:textId="77777777" w:rsidR="00452CAD" w:rsidRDefault="0097758B" w:rsidP="00720FD4">
      <w:pPr>
        <w:pStyle w:val="Default"/>
        <w:jc w:val="both"/>
        <w:rPr>
          <w:rFonts w:asciiTheme="minorHAnsi" w:hAnsiTheme="minorHAnsi"/>
          <w:sz w:val="22"/>
          <w:szCs w:val="22"/>
          <w:u w:val="single"/>
        </w:rPr>
      </w:pPr>
      <w:r w:rsidRPr="0097758B">
        <w:rPr>
          <w:rFonts w:asciiTheme="minorHAnsi" w:hAnsiTheme="minorHAnsi"/>
          <w:sz w:val="22"/>
          <w:szCs w:val="22"/>
          <w:u w:val="single"/>
        </w:rPr>
        <w:t>Section B</w:t>
      </w:r>
    </w:p>
    <w:p w14:paraId="2195E112" w14:textId="77777777" w:rsidR="001142FF" w:rsidRPr="0097758B" w:rsidRDefault="001142FF" w:rsidP="00720FD4">
      <w:pPr>
        <w:pStyle w:val="Default"/>
        <w:jc w:val="both"/>
        <w:rPr>
          <w:rFonts w:asciiTheme="minorHAnsi" w:hAnsiTheme="minorHAnsi"/>
          <w:sz w:val="22"/>
          <w:szCs w:val="22"/>
          <w:u w:val="single"/>
        </w:rPr>
      </w:pPr>
    </w:p>
    <w:p w14:paraId="0DE83EE4" w14:textId="77777777" w:rsidR="0097758B" w:rsidRDefault="0097758B" w:rsidP="00720FD4">
      <w:pPr>
        <w:pStyle w:val="Default"/>
        <w:jc w:val="both"/>
        <w:rPr>
          <w:rFonts w:asciiTheme="minorHAnsi" w:hAnsiTheme="minorHAnsi"/>
          <w:sz w:val="22"/>
          <w:szCs w:val="22"/>
        </w:rPr>
      </w:pPr>
      <w:r>
        <w:rPr>
          <w:rFonts w:asciiTheme="minorHAnsi" w:hAnsiTheme="minorHAnsi"/>
          <w:sz w:val="22"/>
          <w:szCs w:val="22"/>
        </w:rPr>
        <w:t xml:space="preserve">Section B </w:t>
      </w:r>
      <w:r w:rsidR="001932D8">
        <w:rPr>
          <w:rFonts w:asciiTheme="minorHAnsi" w:hAnsiTheme="minorHAnsi"/>
          <w:sz w:val="22"/>
          <w:szCs w:val="22"/>
        </w:rPr>
        <w:t>co</w:t>
      </w:r>
      <w:r>
        <w:rPr>
          <w:rFonts w:asciiTheme="minorHAnsi" w:hAnsiTheme="minorHAnsi"/>
          <w:sz w:val="22"/>
          <w:szCs w:val="22"/>
        </w:rPr>
        <w:t xml:space="preserve">vers the grounds for mandatory exclusion. </w:t>
      </w:r>
    </w:p>
    <w:p w14:paraId="21C17205" w14:textId="77777777" w:rsidR="0097758B" w:rsidRDefault="0097758B" w:rsidP="00720FD4">
      <w:pPr>
        <w:pStyle w:val="Default"/>
        <w:jc w:val="both"/>
        <w:rPr>
          <w:rFonts w:asciiTheme="minorHAnsi" w:hAnsiTheme="minorHAnsi"/>
          <w:sz w:val="22"/>
          <w:szCs w:val="22"/>
        </w:rPr>
      </w:pPr>
    </w:p>
    <w:p w14:paraId="153FDE58" w14:textId="77777777" w:rsidR="0097758B" w:rsidRDefault="0097758B" w:rsidP="00720FD4">
      <w:pPr>
        <w:pStyle w:val="Default"/>
        <w:jc w:val="both"/>
        <w:rPr>
          <w:rFonts w:asciiTheme="minorHAnsi" w:hAnsiTheme="minorHAnsi"/>
          <w:sz w:val="22"/>
          <w:szCs w:val="22"/>
        </w:rPr>
      </w:pPr>
      <w:r>
        <w:rPr>
          <w:rFonts w:asciiTheme="minorHAnsi" w:hAnsiTheme="minorHAnsi"/>
          <w:sz w:val="22"/>
          <w:szCs w:val="22"/>
        </w:rPr>
        <w:t>At the beginning of this section, the LAA state:</w:t>
      </w:r>
    </w:p>
    <w:p w14:paraId="4E41961B" w14:textId="77777777" w:rsidR="0097758B" w:rsidRDefault="0097758B" w:rsidP="00720FD4">
      <w:pPr>
        <w:pStyle w:val="Default"/>
        <w:jc w:val="both"/>
        <w:rPr>
          <w:rFonts w:asciiTheme="minorHAnsi" w:hAnsiTheme="minorHAnsi"/>
          <w:sz w:val="22"/>
          <w:szCs w:val="22"/>
        </w:rPr>
      </w:pPr>
    </w:p>
    <w:p w14:paraId="4528763B" w14:textId="77777777" w:rsidR="0097758B" w:rsidRDefault="004C2D9F" w:rsidP="00720FD4">
      <w:pPr>
        <w:pStyle w:val="Default"/>
        <w:jc w:val="both"/>
        <w:rPr>
          <w:rFonts w:asciiTheme="minorHAnsi" w:hAnsiTheme="minorHAnsi"/>
          <w:i/>
          <w:sz w:val="22"/>
          <w:szCs w:val="22"/>
        </w:rPr>
      </w:pPr>
      <w:r w:rsidRPr="004C2D9F">
        <w:rPr>
          <w:rFonts w:asciiTheme="minorHAnsi" w:hAnsiTheme="minorHAnsi"/>
          <w:i/>
          <w:sz w:val="22"/>
          <w:szCs w:val="22"/>
        </w:rPr>
        <w:t>Where the Applicant answers "Yes" to any question within this section the LAA will exclude it from participating further in this procurement process, unless there are mitigating circumstances which the LAA deems to be satisfactory.</w:t>
      </w:r>
    </w:p>
    <w:p w14:paraId="3C4C88E7" w14:textId="77777777" w:rsidR="007F12AF" w:rsidRDefault="007F12AF" w:rsidP="00720FD4">
      <w:pPr>
        <w:pStyle w:val="Default"/>
        <w:jc w:val="both"/>
        <w:rPr>
          <w:rFonts w:asciiTheme="minorHAnsi" w:hAnsiTheme="minorHAnsi"/>
          <w:i/>
          <w:sz w:val="22"/>
          <w:szCs w:val="22"/>
        </w:rPr>
      </w:pPr>
    </w:p>
    <w:p w14:paraId="5F2CED18" w14:textId="77777777" w:rsidR="00F87B89" w:rsidRDefault="007F12AF" w:rsidP="007629A1">
      <w:pPr>
        <w:pStyle w:val="Default"/>
        <w:jc w:val="both"/>
        <w:rPr>
          <w:rFonts w:asciiTheme="minorHAnsi" w:hAnsiTheme="minorHAnsi"/>
          <w:sz w:val="22"/>
          <w:szCs w:val="22"/>
        </w:rPr>
      </w:pPr>
      <w:r>
        <w:rPr>
          <w:noProof/>
          <w:lang w:eastAsia="en-GB"/>
        </w:rPr>
        <w:drawing>
          <wp:inline distT="0" distB="0" distL="0" distR="0" wp14:anchorId="7F20B9B8" wp14:editId="2581B132">
            <wp:extent cx="547456" cy="564763"/>
            <wp:effectExtent l="0" t="0" r="5080" b="6985"/>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3943" cy="571455"/>
                    </a:xfrm>
                    <a:prstGeom prst="rect">
                      <a:avLst/>
                    </a:prstGeom>
                    <a:noFill/>
                    <a:ln>
                      <a:noFill/>
                    </a:ln>
                  </pic:spPr>
                </pic:pic>
              </a:graphicData>
            </a:graphic>
          </wp:inline>
        </w:drawing>
      </w:r>
      <w:r w:rsidR="00A03E01">
        <w:rPr>
          <w:rFonts w:asciiTheme="minorHAnsi" w:hAnsiTheme="minorHAnsi"/>
          <w:sz w:val="22"/>
          <w:szCs w:val="22"/>
        </w:rPr>
        <w:t>T</w:t>
      </w:r>
      <w:r>
        <w:rPr>
          <w:rFonts w:asciiTheme="minorHAnsi" w:hAnsiTheme="minorHAnsi"/>
          <w:sz w:val="22"/>
          <w:szCs w:val="22"/>
        </w:rPr>
        <w:t>he LAA require you to view the list of mandatory and discretionary exclusions</w:t>
      </w:r>
      <w:r w:rsidR="00A03E01">
        <w:rPr>
          <w:rFonts w:asciiTheme="minorHAnsi" w:hAnsiTheme="minorHAnsi"/>
          <w:sz w:val="22"/>
          <w:szCs w:val="22"/>
        </w:rPr>
        <w:t xml:space="preserve"> before answering the questions in this section.</w:t>
      </w:r>
      <w:r>
        <w:rPr>
          <w:rFonts w:asciiTheme="minorHAnsi" w:hAnsiTheme="minorHAnsi"/>
          <w:sz w:val="22"/>
          <w:szCs w:val="22"/>
        </w:rPr>
        <w:t xml:space="preserve"> They provide the following link to view the list: </w:t>
      </w:r>
    </w:p>
    <w:p w14:paraId="59909021" w14:textId="77777777" w:rsidR="007F12AF" w:rsidRDefault="0038238C" w:rsidP="00720FD4">
      <w:pPr>
        <w:pStyle w:val="Default"/>
        <w:rPr>
          <w:rFonts w:asciiTheme="minorHAnsi" w:hAnsiTheme="minorHAnsi"/>
          <w:sz w:val="22"/>
          <w:szCs w:val="22"/>
        </w:rPr>
      </w:pPr>
      <w:hyperlink r:id="rId23" w:history="1">
        <w:r w:rsidR="00A03E01" w:rsidRPr="00C956A3">
          <w:rPr>
            <w:rStyle w:val="Hyperlink"/>
            <w:rFonts w:asciiTheme="minorHAnsi" w:hAnsiTheme="minorHAnsi"/>
            <w:sz w:val="22"/>
            <w:szCs w:val="22"/>
          </w:rPr>
          <w:t>https://www.gov.uk/government/</w:t>
        </w:r>
        <w:r w:rsidR="00A03E01" w:rsidRPr="00C956A3">
          <w:rPr>
            <w:rStyle w:val="Hyperlink"/>
            <w:rFonts w:asciiTheme="minorHAnsi" w:hAnsiTheme="minorHAnsi"/>
            <w:sz w:val="22"/>
            <w:szCs w:val="22"/>
          </w:rPr>
          <w:softHyphen/>
          <w:t>uploads/system/uploads/attachm</w:t>
        </w:r>
        <w:r w:rsidR="00A03E01" w:rsidRPr="00C956A3">
          <w:rPr>
            <w:rStyle w:val="Hyperlink"/>
            <w:rFonts w:asciiTheme="minorHAnsi" w:hAnsiTheme="minorHAnsi"/>
            <w:sz w:val="22"/>
            <w:szCs w:val="22"/>
          </w:rPr>
          <w:softHyphen/>
          <w:t>ent_data/file/551130/List_of_M</w:t>
        </w:r>
        <w:r w:rsidR="00A03E01" w:rsidRPr="00C956A3">
          <w:rPr>
            <w:rStyle w:val="Hyperlink"/>
            <w:rFonts w:asciiTheme="minorHAnsi" w:hAnsiTheme="minorHAnsi"/>
            <w:sz w:val="22"/>
            <w:szCs w:val="22"/>
          </w:rPr>
          <w:softHyphen/>
          <w:t>andatory_and_Discretionary_Exc</w:t>
        </w:r>
        <w:r w:rsidR="00A03E01" w:rsidRPr="00C956A3">
          <w:rPr>
            <w:rStyle w:val="Hyperlink"/>
            <w:rFonts w:asciiTheme="minorHAnsi" w:hAnsiTheme="minorHAnsi"/>
            <w:sz w:val="22"/>
            <w:szCs w:val="22"/>
          </w:rPr>
          <w:softHyphen/>
          <w:t>lusions.pdf</w:t>
        </w:r>
      </w:hyperlink>
      <w:r w:rsidR="00A03E01">
        <w:rPr>
          <w:rFonts w:asciiTheme="minorHAnsi" w:hAnsiTheme="minorHAnsi"/>
          <w:sz w:val="22"/>
          <w:szCs w:val="22"/>
        </w:rPr>
        <w:t xml:space="preserve"> </w:t>
      </w:r>
    </w:p>
    <w:p w14:paraId="5F18F572" w14:textId="77777777" w:rsidR="007F12AF" w:rsidRPr="007F12AF" w:rsidRDefault="007F12AF" w:rsidP="00720FD4">
      <w:pPr>
        <w:pStyle w:val="Default"/>
        <w:jc w:val="both"/>
        <w:rPr>
          <w:rFonts w:asciiTheme="minorHAnsi" w:hAnsiTheme="minorHAnsi"/>
          <w:sz w:val="22"/>
          <w:szCs w:val="22"/>
        </w:rPr>
      </w:pPr>
    </w:p>
    <w:p w14:paraId="5B8CF306" w14:textId="4C01F520" w:rsidR="0097758B" w:rsidRDefault="007238D7" w:rsidP="00720FD4">
      <w:pPr>
        <w:pStyle w:val="Default"/>
        <w:jc w:val="both"/>
        <w:rPr>
          <w:rFonts w:asciiTheme="minorHAnsi" w:hAnsiTheme="minorHAnsi"/>
          <w:sz w:val="22"/>
          <w:szCs w:val="22"/>
        </w:rPr>
      </w:pPr>
      <w:r>
        <w:rPr>
          <w:rFonts w:asciiTheme="minorHAnsi" w:hAnsiTheme="minorHAnsi"/>
          <w:sz w:val="22"/>
          <w:szCs w:val="22"/>
        </w:rPr>
        <w:t>S</w:t>
      </w:r>
      <w:r w:rsidR="0097758B">
        <w:rPr>
          <w:rFonts w:asciiTheme="minorHAnsi" w:hAnsiTheme="minorHAnsi"/>
          <w:sz w:val="22"/>
          <w:szCs w:val="22"/>
        </w:rPr>
        <w:t xml:space="preserve">ome practitioners will need to complete details in relation to repayment schedules of owed tax and/or national insurance to HMRC. The </w:t>
      </w:r>
      <w:r w:rsidR="00720FD4">
        <w:rPr>
          <w:rFonts w:asciiTheme="minorHAnsi" w:hAnsiTheme="minorHAnsi"/>
          <w:sz w:val="22"/>
          <w:szCs w:val="22"/>
        </w:rPr>
        <w:t>IFA goes</w:t>
      </w:r>
      <w:r w:rsidR="0097758B">
        <w:rPr>
          <w:rFonts w:asciiTheme="minorHAnsi" w:hAnsiTheme="minorHAnsi"/>
          <w:sz w:val="22"/>
          <w:szCs w:val="22"/>
        </w:rPr>
        <w:t xml:space="preserve"> on to s</w:t>
      </w:r>
      <w:r w:rsidR="00720FD4">
        <w:rPr>
          <w:rFonts w:asciiTheme="minorHAnsi" w:hAnsiTheme="minorHAnsi"/>
          <w:sz w:val="22"/>
          <w:szCs w:val="22"/>
        </w:rPr>
        <w:t xml:space="preserve">tate </w:t>
      </w:r>
      <w:r w:rsidR="0097758B">
        <w:rPr>
          <w:rFonts w:asciiTheme="minorHAnsi" w:hAnsiTheme="minorHAnsi"/>
          <w:sz w:val="22"/>
          <w:szCs w:val="22"/>
        </w:rPr>
        <w:t>that:</w:t>
      </w:r>
    </w:p>
    <w:p w14:paraId="49541A80" w14:textId="77777777" w:rsidR="0097758B" w:rsidRDefault="0097758B" w:rsidP="00720FD4">
      <w:pPr>
        <w:pStyle w:val="Default"/>
        <w:jc w:val="both"/>
        <w:rPr>
          <w:rFonts w:asciiTheme="minorHAnsi" w:hAnsiTheme="minorHAnsi"/>
          <w:sz w:val="22"/>
          <w:szCs w:val="22"/>
        </w:rPr>
      </w:pPr>
    </w:p>
    <w:p w14:paraId="3A897ADD" w14:textId="77777777" w:rsidR="00A03E01" w:rsidRDefault="00A03E01" w:rsidP="00720FD4">
      <w:pPr>
        <w:pStyle w:val="Default"/>
        <w:jc w:val="both"/>
        <w:rPr>
          <w:rFonts w:asciiTheme="minorHAnsi" w:hAnsiTheme="minorHAnsi"/>
          <w:i/>
          <w:sz w:val="22"/>
          <w:szCs w:val="22"/>
        </w:rPr>
      </w:pPr>
      <w:r w:rsidRPr="00A03E01">
        <w:rPr>
          <w:rFonts w:asciiTheme="minorHAnsi" w:hAnsiTheme="minorHAnsi"/>
          <w:i/>
          <w:sz w:val="22"/>
          <w:szCs w:val="22"/>
        </w:rPr>
        <w:t>If the Applicant answers “Yes” to question B.2 on the non-payment of taxes or social security contributions, and has not paid or entered into a binding arrangement to pay the full amount, it may still avoid exclusion if only minor tax or social security contributions are unpaid or if it has not yet had time to fulfil its obligations since learning of the exact amount due. If the Applicant is in that position please provide details in the free text boxes to the supplementary question B.2(a) - (f). </w:t>
      </w:r>
    </w:p>
    <w:p w14:paraId="473B4C5F" w14:textId="77777777" w:rsidR="00A03E01" w:rsidRDefault="00A03E01" w:rsidP="00720FD4">
      <w:pPr>
        <w:pStyle w:val="Default"/>
        <w:jc w:val="both"/>
        <w:rPr>
          <w:rFonts w:asciiTheme="minorHAnsi" w:hAnsiTheme="minorHAnsi"/>
          <w:i/>
          <w:sz w:val="22"/>
          <w:szCs w:val="22"/>
        </w:rPr>
      </w:pPr>
    </w:p>
    <w:p w14:paraId="48EDBB6B" w14:textId="77777777" w:rsidR="0097758B" w:rsidRDefault="0097758B" w:rsidP="00720FD4">
      <w:pPr>
        <w:pStyle w:val="Default"/>
        <w:jc w:val="both"/>
        <w:rPr>
          <w:rFonts w:asciiTheme="minorHAnsi" w:hAnsiTheme="minorHAnsi"/>
          <w:sz w:val="22"/>
          <w:szCs w:val="22"/>
        </w:rPr>
      </w:pPr>
      <w:r>
        <w:rPr>
          <w:rFonts w:asciiTheme="minorHAnsi" w:hAnsiTheme="minorHAnsi"/>
          <w:sz w:val="22"/>
          <w:szCs w:val="22"/>
        </w:rPr>
        <w:t xml:space="preserve">In previous tenders, our experience has been that the LAA and its predecessor bodies have exercised discretion where the applicant can demonstrate that the any repayment schedule agreed has been adhered to without any missed payments. </w:t>
      </w:r>
    </w:p>
    <w:p w14:paraId="07901450" w14:textId="77777777" w:rsidR="0097758B" w:rsidRDefault="0097758B" w:rsidP="00720FD4">
      <w:pPr>
        <w:pStyle w:val="Default"/>
        <w:jc w:val="both"/>
        <w:rPr>
          <w:rFonts w:asciiTheme="minorHAnsi" w:hAnsiTheme="minorHAnsi"/>
          <w:sz w:val="22"/>
          <w:szCs w:val="22"/>
        </w:rPr>
      </w:pPr>
    </w:p>
    <w:p w14:paraId="3D67EFE5" w14:textId="77777777" w:rsidR="003D4FD3" w:rsidRDefault="001932D8" w:rsidP="00720FD4">
      <w:pPr>
        <w:pStyle w:val="Default"/>
        <w:jc w:val="both"/>
        <w:rPr>
          <w:rFonts w:asciiTheme="minorHAnsi" w:hAnsiTheme="minorHAnsi"/>
          <w:sz w:val="22"/>
          <w:szCs w:val="22"/>
          <w:u w:val="single"/>
        </w:rPr>
      </w:pPr>
      <w:r w:rsidRPr="001932D8">
        <w:rPr>
          <w:rFonts w:asciiTheme="minorHAnsi" w:hAnsiTheme="minorHAnsi"/>
          <w:sz w:val="22"/>
          <w:szCs w:val="22"/>
          <w:u w:val="single"/>
        </w:rPr>
        <w:t>Section C</w:t>
      </w:r>
    </w:p>
    <w:p w14:paraId="576AEBD2" w14:textId="77777777" w:rsidR="001932D8" w:rsidRDefault="001932D8" w:rsidP="00720FD4">
      <w:pPr>
        <w:pStyle w:val="Default"/>
        <w:jc w:val="both"/>
        <w:rPr>
          <w:rFonts w:asciiTheme="minorHAnsi" w:hAnsiTheme="minorHAnsi"/>
          <w:sz w:val="22"/>
          <w:szCs w:val="22"/>
        </w:rPr>
      </w:pPr>
    </w:p>
    <w:p w14:paraId="3BE5CA01" w14:textId="37EA2BA6" w:rsidR="00E568C8" w:rsidRDefault="001932D8" w:rsidP="00720FD4">
      <w:pPr>
        <w:pStyle w:val="Default"/>
        <w:jc w:val="both"/>
        <w:rPr>
          <w:rFonts w:asciiTheme="minorHAnsi" w:hAnsiTheme="minorHAnsi"/>
          <w:sz w:val="22"/>
          <w:szCs w:val="22"/>
        </w:rPr>
      </w:pPr>
      <w:r>
        <w:rPr>
          <w:rFonts w:asciiTheme="minorHAnsi" w:hAnsiTheme="minorHAnsi"/>
          <w:sz w:val="22"/>
          <w:szCs w:val="22"/>
        </w:rPr>
        <w:t xml:space="preserve">This is a very long list of questions covering areas such as bankruptcy, IVAs, Contract </w:t>
      </w:r>
      <w:r w:rsidR="00F87B89">
        <w:rPr>
          <w:rFonts w:asciiTheme="minorHAnsi" w:hAnsiTheme="minorHAnsi"/>
          <w:sz w:val="22"/>
          <w:szCs w:val="22"/>
        </w:rPr>
        <w:t>t</w:t>
      </w:r>
      <w:r>
        <w:rPr>
          <w:rFonts w:asciiTheme="minorHAnsi" w:hAnsiTheme="minorHAnsi"/>
          <w:sz w:val="22"/>
          <w:szCs w:val="22"/>
        </w:rPr>
        <w:t>e</w:t>
      </w:r>
      <w:r w:rsidR="007238D7">
        <w:rPr>
          <w:rFonts w:asciiTheme="minorHAnsi" w:hAnsiTheme="minorHAnsi"/>
          <w:sz w:val="22"/>
          <w:szCs w:val="22"/>
        </w:rPr>
        <w:t xml:space="preserve">rminations, </w:t>
      </w:r>
      <w:r w:rsidR="00565A8E">
        <w:rPr>
          <w:rFonts w:asciiTheme="minorHAnsi" w:hAnsiTheme="minorHAnsi"/>
          <w:sz w:val="22"/>
          <w:szCs w:val="22"/>
        </w:rPr>
        <w:t xml:space="preserve">Peer Review results, </w:t>
      </w:r>
      <w:r w:rsidR="00E568C8">
        <w:rPr>
          <w:rFonts w:asciiTheme="minorHAnsi" w:hAnsiTheme="minorHAnsi"/>
          <w:sz w:val="22"/>
          <w:szCs w:val="22"/>
        </w:rPr>
        <w:t xml:space="preserve">CCJs, </w:t>
      </w:r>
      <w:r w:rsidR="00F87B89">
        <w:rPr>
          <w:rFonts w:asciiTheme="minorHAnsi" w:hAnsiTheme="minorHAnsi"/>
          <w:sz w:val="22"/>
          <w:szCs w:val="22"/>
        </w:rPr>
        <w:t>r</w:t>
      </w:r>
      <w:r w:rsidR="007238D7">
        <w:rPr>
          <w:rFonts w:asciiTheme="minorHAnsi" w:hAnsiTheme="minorHAnsi"/>
          <w:sz w:val="22"/>
          <w:szCs w:val="22"/>
        </w:rPr>
        <w:t>egulatory findings</w:t>
      </w:r>
      <w:r>
        <w:rPr>
          <w:rFonts w:asciiTheme="minorHAnsi" w:hAnsiTheme="minorHAnsi"/>
          <w:sz w:val="22"/>
          <w:szCs w:val="22"/>
        </w:rPr>
        <w:t xml:space="preserve"> </w:t>
      </w:r>
      <w:r w:rsidR="007238D7">
        <w:rPr>
          <w:rFonts w:asciiTheme="minorHAnsi" w:hAnsiTheme="minorHAnsi"/>
          <w:sz w:val="22"/>
          <w:szCs w:val="22"/>
        </w:rPr>
        <w:t xml:space="preserve">and </w:t>
      </w:r>
      <w:r>
        <w:rPr>
          <w:rFonts w:asciiTheme="minorHAnsi" w:hAnsiTheme="minorHAnsi"/>
          <w:sz w:val="22"/>
          <w:szCs w:val="22"/>
        </w:rPr>
        <w:t xml:space="preserve">compliance with equality, environmental </w:t>
      </w:r>
      <w:r w:rsidR="007238D7">
        <w:rPr>
          <w:rFonts w:asciiTheme="minorHAnsi" w:hAnsiTheme="minorHAnsi"/>
          <w:sz w:val="22"/>
          <w:szCs w:val="22"/>
        </w:rPr>
        <w:t xml:space="preserve">&amp; </w:t>
      </w:r>
      <w:r w:rsidR="00E568C8">
        <w:rPr>
          <w:rFonts w:asciiTheme="minorHAnsi" w:hAnsiTheme="minorHAnsi"/>
          <w:sz w:val="22"/>
          <w:szCs w:val="22"/>
        </w:rPr>
        <w:t>procurement legislation</w:t>
      </w:r>
      <w:r>
        <w:rPr>
          <w:rFonts w:asciiTheme="minorHAnsi" w:hAnsiTheme="minorHAnsi"/>
          <w:sz w:val="22"/>
          <w:szCs w:val="22"/>
        </w:rPr>
        <w:t xml:space="preserve">. </w:t>
      </w:r>
      <w:r w:rsidR="00921DF5" w:rsidRPr="00921DF5">
        <w:rPr>
          <w:rFonts w:asciiTheme="minorHAnsi" w:hAnsiTheme="minorHAnsi"/>
          <w:sz w:val="22"/>
          <w:szCs w:val="22"/>
        </w:rPr>
        <w:t xml:space="preserve">Please note that these questions generally relate to events that have happened </w:t>
      </w:r>
      <w:r w:rsidR="003D4FD3">
        <w:rPr>
          <w:rFonts w:asciiTheme="minorHAnsi" w:hAnsiTheme="minorHAnsi"/>
          <w:sz w:val="22"/>
          <w:szCs w:val="22"/>
        </w:rPr>
        <w:t xml:space="preserve">to the firm or its key personnel </w:t>
      </w:r>
      <w:r w:rsidR="00921DF5" w:rsidRPr="00921DF5">
        <w:rPr>
          <w:rFonts w:asciiTheme="minorHAnsi" w:hAnsiTheme="minorHAnsi"/>
          <w:sz w:val="22"/>
          <w:szCs w:val="22"/>
        </w:rPr>
        <w:t xml:space="preserve">in the last three years. </w:t>
      </w:r>
      <w:r w:rsidR="00F87B89">
        <w:rPr>
          <w:rFonts w:asciiTheme="minorHAnsi" w:hAnsiTheme="minorHAnsi"/>
          <w:sz w:val="22"/>
          <w:szCs w:val="22"/>
        </w:rPr>
        <w:t xml:space="preserve"> </w:t>
      </w:r>
    </w:p>
    <w:p w14:paraId="798365B9" w14:textId="77777777" w:rsidR="00E568C8" w:rsidRDefault="00E568C8" w:rsidP="00720FD4">
      <w:pPr>
        <w:pStyle w:val="Default"/>
        <w:jc w:val="both"/>
        <w:rPr>
          <w:rFonts w:asciiTheme="minorHAnsi" w:hAnsiTheme="minorHAnsi"/>
          <w:sz w:val="22"/>
          <w:szCs w:val="22"/>
        </w:rPr>
      </w:pPr>
    </w:p>
    <w:p w14:paraId="40E2507C" w14:textId="2D994537" w:rsidR="00921DF5" w:rsidRPr="00921DF5" w:rsidRDefault="00565A8E" w:rsidP="00720FD4">
      <w:pPr>
        <w:pStyle w:val="Default"/>
        <w:jc w:val="both"/>
        <w:rPr>
          <w:rFonts w:asciiTheme="minorHAnsi" w:hAnsiTheme="minorHAnsi"/>
          <w:sz w:val="22"/>
          <w:szCs w:val="22"/>
        </w:rPr>
      </w:pPr>
      <w:r>
        <w:rPr>
          <w:rFonts w:asciiTheme="minorHAnsi" w:hAnsiTheme="minorHAnsi"/>
          <w:sz w:val="22"/>
          <w:szCs w:val="22"/>
        </w:rPr>
        <w:t xml:space="preserve">A reminder – you will need the list of mandatory and discretionary exclusions using the link above. </w:t>
      </w:r>
    </w:p>
    <w:p w14:paraId="17685B63" w14:textId="77777777" w:rsidR="00D83802" w:rsidRDefault="00D83802" w:rsidP="00720FD4">
      <w:pPr>
        <w:pStyle w:val="Default"/>
        <w:jc w:val="both"/>
        <w:rPr>
          <w:rFonts w:asciiTheme="minorHAnsi" w:hAnsiTheme="minorHAnsi"/>
          <w:sz w:val="22"/>
          <w:szCs w:val="22"/>
        </w:rPr>
      </w:pPr>
    </w:p>
    <w:p w14:paraId="1986A7F4" w14:textId="77777777" w:rsidR="00452CAD" w:rsidRPr="00362EB5" w:rsidRDefault="00565A8E" w:rsidP="00720FD4">
      <w:pPr>
        <w:pStyle w:val="Default"/>
        <w:jc w:val="both"/>
        <w:rPr>
          <w:rFonts w:asciiTheme="minorHAnsi" w:hAnsiTheme="minorHAnsi"/>
          <w:sz w:val="22"/>
          <w:szCs w:val="22"/>
          <w:u w:val="single"/>
        </w:rPr>
      </w:pPr>
      <w:r>
        <w:rPr>
          <w:rFonts w:asciiTheme="minorHAnsi" w:hAnsiTheme="minorHAnsi"/>
          <w:sz w:val="22"/>
          <w:szCs w:val="22"/>
          <w:u w:val="single"/>
        </w:rPr>
        <w:t>Section D</w:t>
      </w:r>
      <w:r w:rsidR="00362EB5" w:rsidRPr="00362EB5">
        <w:rPr>
          <w:rFonts w:asciiTheme="minorHAnsi" w:hAnsiTheme="minorHAnsi"/>
          <w:sz w:val="22"/>
          <w:szCs w:val="22"/>
          <w:u w:val="single"/>
        </w:rPr>
        <w:t xml:space="preserve"> – Declarations</w:t>
      </w:r>
    </w:p>
    <w:p w14:paraId="5DE5FDF3" w14:textId="77777777" w:rsidR="00362EB5" w:rsidRDefault="00362EB5" w:rsidP="00720FD4">
      <w:pPr>
        <w:pStyle w:val="Default"/>
        <w:jc w:val="both"/>
        <w:rPr>
          <w:rFonts w:asciiTheme="minorHAnsi" w:hAnsiTheme="minorHAnsi"/>
          <w:sz w:val="22"/>
          <w:szCs w:val="22"/>
        </w:rPr>
      </w:pPr>
    </w:p>
    <w:p w14:paraId="5B4C49F6" w14:textId="77777777" w:rsidR="000C0185" w:rsidRDefault="00362EB5" w:rsidP="00720FD4">
      <w:pPr>
        <w:pStyle w:val="Default"/>
        <w:jc w:val="both"/>
        <w:rPr>
          <w:rFonts w:asciiTheme="minorHAnsi" w:hAnsiTheme="minorHAnsi"/>
          <w:sz w:val="22"/>
          <w:szCs w:val="22"/>
        </w:rPr>
      </w:pPr>
      <w:r>
        <w:rPr>
          <w:rFonts w:asciiTheme="minorHAnsi" w:hAnsiTheme="minorHAnsi"/>
          <w:sz w:val="22"/>
          <w:szCs w:val="22"/>
        </w:rPr>
        <w:t xml:space="preserve">Two declarations are required in this section. The answers submitted in the tender </w:t>
      </w:r>
      <w:r w:rsidR="000C0185">
        <w:rPr>
          <w:rFonts w:asciiTheme="minorHAnsi" w:hAnsiTheme="minorHAnsi"/>
          <w:sz w:val="22"/>
          <w:szCs w:val="22"/>
        </w:rPr>
        <w:t xml:space="preserve">must be confirmed to be </w:t>
      </w:r>
      <w:r>
        <w:rPr>
          <w:rFonts w:asciiTheme="minorHAnsi" w:hAnsiTheme="minorHAnsi"/>
          <w:sz w:val="22"/>
          <w:szCs w:val="22"/>
        </w:rPr>
        <w:t xml:space="preserve">correct </w:t>
      </w:r>
      <w:r w:rsidR="000C0185">
        <w:rPr>
          <w:rFonts w:asciiTheme="minorHAnsi" w:hAnsiTheme="minorHAnsi"/>
          <w:sz w:val="22"/>
          <w:szCs w:val="22"/>
        </w:rPr>
        <w:t xml:space="preserve">by the </w:t>
      </w:r>
      <w:r w:rsidR="000C0185" w:rsidRPr="000C0185">
        <w:rPr>
          <w:rFonts w:asciiTheme="minorHAnsi" w:hAnsiTheme="minorHAnsi"/>
          <w:sz w:val="22"/>
          <w:szCs w:val="22"/>
        </w:rPr>
        <w:t xml:space="preserve">person completing the tender </w:t>
      </w:r>
      <w:r w:rsidR="000C0185">
        <w:rPr>
          <w:rFonts w:asciiTheme="minorHAnsi" w:hAnsiTheme="minorHAnsi"/>
          <w:sz w:val="22"/>
          <w:szCs w:val="22"/>
        </w:rPr>
        <w:t xml:space="preserve">and the firm’s Compliance Officer for Legal Practice (COLP). </w:t>
      </w:r>
    </w:p>
    <w:p w14:paraId="18BE57C8" w14:textId="77777777" w:rsidR="000C0185" w:rsidRDefault="000C0185" w:rsidP="00720FD4">
      <w:pPr>
        <w:pStyle w:val="Default"/>
        <w:jc w:val="both"/>
        <w:rPr>
          <w:rFonts w:asciiTheme="minorHAnsi" w:hAnsiTheme="minorHAnsi"/>
          <w:sz w:val="22"/>
          <w:szCs w:val="22"/>
        </w:rPr>
      </w:pPr>
    </w:p>
    <w:p w14:paraId="593A5F55" w14:textId="5967109F" w:rsidR="00EC03AD" w:rsidRDefault="000C0185" w:rsidP="00720FD4">
      <w:pPr>
        <w:pStyle w:val="Default"/>
        <w:jc w:val="both"/>
        <w:rPr>
          <w:rFonts w:asciiTheme="minorHAnsi" w:hAnsiTheme="minorHAnsi"/>
          <w:sz w:val="22"/>
          <w:szCs w:val="22"/>
        </w:rPr>
      </w:pPr>
      <w:r>
        <w:rPr>
          <w:noProof/>
          <w:lang w:eastAsia="en-GB"/>
        </w:rPr>
        <w:drawing>
          <wp:inline distT="0" distB="0" distL="0" distR="0" wp14:anchorId="7B778D9F" wp14:editId="34811163">
            <wp:extent cx="547456" cy="564763"/>
            <wp:effectExtent l="0" t="0" r="5080" b="6985"/>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3943" cy="571455"/>
                    </a:xfrm>
                    <a:prstGeom prst="rect">
                      <a:avLst/>
                    </a:prstGeom>
                    <a:noFill/>
                    <a:ln>
                      <a:noFill/>
                    </a:ln>
                  </pic:spPr>
                </pic:pic>
              </a:graphicData>
            </a:graphic>
          </wp:inline>
        </w:drawing>
      </w:r>
      <w:r w:rsidR="00565A8E">
        <w:rPr>
          <w:rFonts w:asciiTheme="minorHAnsi" w:hAnsiTheme="minorHAnsi"/>
          <w:sz w:val="22"/>
          <w:szCs w:val="22"/>
        </w:rPr>
        <w:t>Please note that the LAA are</w:t>
      </w:r>
      <w:r w:rsidR="00EC03AD">
        <w:rPr>
          <w:rFonts w:asciiTheme="minorHAnsi" w:hAnsiTheme="minorHAnsi"/>
          <w:sz w:val="22"/>
          <w:szCs w:val="22"/>
        </w:rPr>
        <w:t xml:space="preserve"> now</w:t>
      </w:r>
      <w:r w:rsidR="00565A8E">
        <w:rPr>
          <w:rFonts w:asciiTheme="minorHAnsi" w:hAnsiTheme="minorHAnsi"/>
          <w:sz w:val="22"/>
          <w:szCs w:val="22"/>
        </w:rPr>
        <w:t xml:space="preserve"> very strong on referring to any declarations signed by a COLP when they are verifying information about a firm. By way of example, the LAA </w:t>
      </w:r>
      <w:r w:rsidR="00E568C8">
        <w:rPr>
          <w:rFonts w:asciiTheme="minorHAnsi" w:hAnsiTheme="minorHAnsi"/>
          <w:sz w:val="22"/>
          <w:szCs w:val="22"/>
        </w:rPr>
        <w:t xml:space="preserve">is </w:t>
      </w:r>
      <w:r w:rsidR="00565A8E">
        <w:rPr>
          <w:rFonts w:asciiTheme="minorHAnsi" w:hAnsiTheme="minorHAnsi"/>
          <w:sz w:val="22"/>
          <w:szCs w:val="22"/>
        </w:rPr>
        <w:t xml:space="preserve">currently </w:t>
      </w:r>
      <w:r w:rsidR="00E568C8">
        <w:rPr>
          <w:rFonts w:asciiTheme="minorHAnsi" w:hAnsiTheme="minorHAnsi"/>
          <w:sz w:val="22"/>
          <w:szCs w:val="22"/>
        </w:rPr>
        <w:t xml:space="preserve">seeking to </w:t>
      </w:r>
      <w:r w:rsidR="00565A8E">
        <w:rPr>
          <w:rFonts w:asciiTheme="minorHAnsi" w:hAnsiTheme="minorHAnsi"/>
          <w:sz w:val="22"/>
          <w:szCs w:val="22"/>
        </w:rPr>
        <w:t>remo</w:t>
      </w:r>
      <w:r w:rsidR="00E568C8">
        <w:rPr>
          <w:rFonts w:asciiTheme="minorHAnsi" w:hAnsiTheme="minorHAnsi"/>
          <w:sz w:val="22"/>
          <w:szCs w:val="22"/>
        </w:rPr>
        <w:t>ve</w:t>
      </w:r>
      <w:r w:rsidR="00565A8E">
        <w:rPr>
          <w:rFonts w:asciiTheme="minorHAnsi" w:hAnsiTheme="minorHAnsi"/>
          <w:sz w:val="22"/>
          <w:szCs w:val="22"/>
        </w:rPr>
        <w:t xml:space="preserve"> a high number of crime duty solicitors from the rotas because they are alleged to not be meeting a key requirement of conducting 14 hours of contract work </w:t>
      </w:r>
      <w:r w:rsidR="00E568C8">
        <w:rPr>
          <w:rFonts w:asciiTheme="minorHAnsi" w:hAnsiTheme="minorHAnsi"/>
          <w:sz w:val="22"/>
          <w:szCs w:val="22"/>
        </w:rPr>
        <w:t>per</w:t>
      </w:r>
      <w:r w:rsidR="00565A8E">
        <w:rPr>
          <w:rFonts w:asciiTheme="minorHAnsi" w:hAnsiTheme="minorHAnsi"/>
          <w:sz w:val="22"/>
          <w:szCs w:val="22"/>
        </w:rPr>
        <w:t xml:space="preserve"> week. </w:t>
      </w:r>
      <w:r w:rsidR="00EC03AD">
        <w:rPr>
          <w:rFonts w:asciiTheme="minorHAnsi" w:hAnsiTheme="minorHAnsi"/>
          <w:sz w:val="22"/>
          <w:szCs w:val="22"/>
        </w:rPr>
        <w:t>T</w:t>
      </w:r>
      <w:r w:rsidR="00565A8E">
        <w:rPr>
          <w:rFonts w:asciiTheme="minorHAnsi" w:hAnsiTheme="minorHAnsi"/>
          <w:sz w:val="22"/>
          <w:szCs w:val="22"/>
        </w:rPr>
        <w:t xml:space="preserve">he LAA </w:t>
      </w:r>
      <w:r w:rsidR="00E568C8">
        <w:rPr>
          <w:rFonts w:asciiTheme="minorHAnsi" w:hAnsiTheme="minorHAnsi"/>
          <w:sz w:val="22"/>
          <w:szCs w:val="22"/>
        </w:rPr>
        <w:t xml:space="preserve">has been </w:t>
      </w:r>
      <w:r w:rsidR="00EC03AD">
        <w:rPr>
          <w:rFonts w:asciiTheme="minorHAnsi" w:hAnsiTheme="minorHAnsi"/>
          <w:sz w:val="22"/>
          <w:szCs w:val="22"/>
        </w:rPr>
        <w:t>refer</w:t>
      </w:r>
      <w:r w:rsidR="00E568C8">
        <w:rPr>
          <w:rFonts w:asciiTheme="minorHAnsi" w:hAnsiTheme="minorHAnsi"/>
          <w:sz w:val="22"/>
          <w:szCs w:val="22"/>
        </w:rPr>
        <w:t>ring</w:t>
      </w:r>
      <w:r w:rsidR="00EC03AD">
        <w:rPr>
          <w:rFonts w:asciiTheme="minorHAnsi" w:hAnsiTheme="minorHAnsi"/>
          <w:sz w:val="22"/>
          <w:szCs w:val="22"/>
        </w:rPr>
        <w:t xml:space="preserve"> back to a declaration made by the COLP </w:t>
      </w:r>
      <w:r w:rsidR="00E568C8">
        <w:rPr>
          <w:rFonts w:asciiTheme="minorHAnsi" w:hAnsiTheme="minorHAnsi"/>
          <w:sz w:val="22"/>
          <w:szCs w:val="22"/>
        </w:rPr>
        <w:t xml:space="preserve">in the Crime tender </w:t>
      </w:r>
      <w:r w:rsidR="00EC03AD">
        <w:rPr>
          <w:rFonts w:asciiTheme="minorHAnsi" w:hAnsiTheme="minorHAnsi"/>
          <w:sz w:val="22"/>
          <w:szCs w:val="22"/>
        </w:rPr>
        <w:t>to the effect that the COLP undertakes that they will meet the contractual requirements including the 14</w:t>
      </w:r>
      <w:r w:rsidR="00F87B89">
        <w:rPr>
          <w:rFonts w:asciiTheme="minorHAnsi" w:hAnsiTheme="minorHAnsi"/>
          <w:sz w:val="22"/>
          <w:szCs w:val="22"/>
        </w:rPr>
        <w:t>-</w:t>
      </w:r>
      <w:r w:rsidR="00EC03AD">
        <w:rPr>
          <w:rFonts w:asciiTheme="minorHAnsi" w:hAnsiTheme="minorHAnsi"/>
          <w:sz w:val="22"/>
          <w:szCs w:val="22"/>
        </w:rPr>
        <w:t xml:space="preserve">hour rule. Therefore, the COLP should take personal care to check that the answers provided are truthful and accurate. </w:t>
      </w:r>
    </w:p>
    <w:p w14:paraId="2F682B41" w14:textId="77777777" w:rsidR="00EC03AD" w:rsidRDefault="00EC03AD" w:rsidP="00720FD4">
      <w:pPr>
        <w:pStyle w:val="Default"/>
        <w:jc w:val="both"/>
        <w:rPr>
          <w:rFonts w:asciiTheme="minorHAnsi" w:hAnsiTheme="minorHAnsi"/>
          <w:sz w:val="22"/>
          <w:szCs w:val="22"/>
        </w:rPr>
      </w:pPr>
    </w:p>
    <w:p w14:paraId="4A501B41" w14:textId="59F35B89" w:rsidR="00EC03AD" w:rsidRDefault="00EC03AD" w:rsidP="00720FD4">
      <w:pPr>
        <w:pStyle w:val="Default"/>
        <w:jc w:val="both"/>
        <w:rPr>
          <w:rFonts w:asciiTheme="minorHAnsi" w:hAnsiTheme="minorHAnsi"/>
          <w:sz w:val="22"/>
          <w:szCs w:val="22"/>
        </w:rPr>
      </w:pPr>
      <w:r>
        <w:rPr>
          <w:rFonts w:asciiTheme="minorHAnsi" w:hAnsiTheme="minorHAnsi"/>
          <w:sz w:val="22"/>
          <w:szCs w:val="22"/>
        </w:rPr>
        <w:t xml:space="preserve">An example of where this could go wrong in practice is </w:t>
      </w:r>
      <w:r w:rsidR="00F87B89">
        <w:rPr>
          <w:rFonts w:asciiTheme="minorHAnsi" w:hAnsiTheme="minorHAnsi"/>
          <w:sz w:val="22"/>
          <w:szCs w:val="22"/>
        </w:rPr>
        <w:t xml:space="preserve">where there has been a </w:t>
      </w:r>
      <w:r>
        <w:rPr>
          <w:rFonts w:asciiTheme="minorHAnsi" w:hAnsiTheme="minorHAnsi"/>
          <w:sz w:val="22"/>
          <w:szCs w:val="22"/>
        </w:rPr>
        <w:t>non-declaration of</w:t>
      </w:r>
      <w:r w:rsidR="00F87B89">
        <w:rPr>
          <w:rFonts w:asciiTheme="minorHAnsi" w:hAnsiTheme="minorHAnsi"/>
          <w:sz w:val="22"/>
          <w:szCs w:val="22"/>
        </w:rPr>
        <w:t>, for example, the existence of</w:t>
      </w:r>
      <w:r>
        <w:rPr>
          <w:rFonts w:asciiTheme="minorHAnsi" w:hAnsiTheme="minorHAnsi"/>
          <w:sz w:val="22"/>
          <w:szCs w:val="22"/>
        </w:rPr>
        <w:t xml:space="preserve"> </w:t>
      </w:r>
      <w:r w:rsidR="00E568C8">
        <w:rPr>
          <w:rFonts w:asciiTheme="minorHAnsi" w:hAnsiTheme="minorHAnsi"/>
          <w:sz w:val="22"/>
          <w:szCs w:val="22"/>
        </w:rPr>
        <w:t>a CCJ</w:t>
      </w:r>
      <w:r>
        <w:rPr>
          <w:rFonts w:asciiTheme="minorHAnsi" w:hAnsiTheme="minorHAnsi"/>
          <w:sz w:val="22"/>
          <w:szCs w:val="22"/>
        </w:rPr>
        <w:t xml:space="preserve"> and the LAA finding out about it.</w:t>
      </w:r>
    </w:p>
    <w:p w14:paraId="7E3260C1" w14:textId="77777777" w:rsidR="00F87B89" w:rsidRDefault="00F87B89" w:rsidP="00720FD4">
      <w:pPr>
        <w:pStyle w:val="Default"/>
        <w:jc w:val="both"/>
        <w:rPr>
          <w:rFonts w:asciiTheme="minorHAnsi" w:hAnsiTheme="minorHAnsi"/>
          <w:sz w:val="22"/>
          <w:szCs w:val="22"/>
        </w:rPr>
      </w:pPr>
    </w:p>
    <w:p w14:paraId="6DB6CBA4" w14:textId="690D2BB2" w:rsidR="00E568C8" w:rsidRDefault="00E568C8" w:rsidP="00720FD4">
      <w:pPr>
        <w:pStyle w:val="Default"/>
        <w:jc w:val="both"/>
        <w:rPr>
          <w:rFonts w:asciiTheme="minorHAnsi" w:hAnsiTheme="minorHAnsi"/>
          <w:b/>
          <w:sz w:val="22"/>
          <w:szCs w:val="22"/>
        </w:rPr>
      </w:pPr>
      <w:bookmarkStart w:id="0" w:name="_Hlk494117392"/>
    </w:p>
    <w:p w14:paraId="39524C9E" w14:textId="2CFC55EA" w:rsidR="00A0708F" w:rsidRDefault="00A0708F" w:rsidP="00720FD4">
      <w:pPr>
        <w:pStyle w:val="Default"/>
        <w:jc w:val="both"/>
        <w:rPr>
          <w:rFonts w:asciiTheme="minorHAnsi" w:hAnsiTheme="minorHAnsi"/>
          <w:b/>
          <w:sz w:val="22"/>
          <w:szCs w:val="22"/>
        </w:rPr>
      </w:pPr>
    </w:p>
    <w:p w14:paraId="6778B691" w14:textId="12675A51" w:rsidR="00A0708F" w:rsidRDefault="00A0708F" w:rsidP="00720FD4">
      <w:pPr>
        <w:pStyle w:val="Default"/>
        <w:jc w:val="both"/>
        <w:rPr>
          <w:rFonts w:asciiTheme="minorHAnsi" w:hAnsiTheme="minorHAnsi"/>
          <w:b/>
          <w:sz w:val="22"/>
          <w:szCs w:val="22"/>
        </w:rPr>
      </w:pPr>
    </w:p>
    <w:p w14:paraId="22009724" w14:textId="2EAB2E7E" w:rsidR="00A0708F" w:rsidRDefault="00A0708F" w:rsidP="00720FD4">
      <w:pPr>
        <w:pStyle w:val="Default"/>
        <w:jc w:val="both"/>
        <w:rPr>
          <w:rFonts w:asciiTheme="minorHAnsi" w:hAnsiTheme="minorHAnsi"/>
          <w:b/>
          <w:sz w:val="22"/>
          <w:szCs w:val="22"/>
        </w:rPr>
      </w:pPr>
    </w:p>
    <w:p w14:paraId="7823683E" w14:textId="7A500412" w:rsidR="00A0708F" w:rsidRDefault="00A0708F" w:rsidP="00720FD4">
      <w:pPr>
        <w:pStyle w:val="Default"/>
        <w:jc w:val="both"/>
        <w:rPr>
          <w:rFonts w:asciiTheme="minorHAnsi" w:hAnsiTheme="minorHAnsi"/>
          <w:b/>
          <w:sz w:val="22"/>
          <w:szCs w:val="22"/>
        </w:rPr>
      </w:pPr>
    </w:p>
    <w:p w14:paraId="6AB91535" w14:textId="0C5E85BD" w:rsidR="00A0708F" w:rsidRDefault="00A0708F" w:rsidP="00720FD4">
      <w:pPr>
        <w:pStyle w:val="Default"/>
        <w:jc w:val="both"/>
        <w:rPr>
          <w:rFonts w:asciiTheme="minorHAnsi" w:hAnsiTheme="minorHAnsi"/>
          <w:b/>
          <w:sz w:val="22"/>
          <w:szCs w:val="22"/>
        </w:rPr>
      </w:pPr>
    </w:p>
    <w:p w14:paraId="213D4E99" w14:textId="77777777" w:rsidR="00A0708F" w:rsidRDefault="00A0708F" w:rsidP="00720FD4">
      <w:pPr>
        <w:pStyle w:val="Default"/>
        <w:jc w:val="both"/>
        <w:rPr>
          <w:rFonts w:asciiTheme="minorHAnsi" w:hAnsiTheme="minorHAnsi"/>
          <w:b/>
          <w:sz w:val="22"/>
          <w:szCs w:val="22"/>
        </w:rPr>
      </w:pPr>
    </w:p>
    <w:p w14:paraId="18AF326A" w14:textId="77777777" w:rsidR="000C0185" w:rsidRPr="000C0185" w:rsidRDefault="000C0185" w:rsidP="00720FD4">
      <w:pPr>
        <w:pStyle w:val="Default"/>
        <w:jc w:val="both"/>
        <w:rPr>
          <w:rFonts w:asciiTheme="minorHAnsi" w:hAnsiTheme="minorHAnsi"/>
          <w:b/>
          <w:sz w:val="22"/>
          <w:szCs w:val="22"/>
        </w:rPr>
      </w:pPr>
      <w:r w:rsidRPr="000C0185">
        <w:rPr>
          <w:rFonts w:asciiTheme="minorHAnsi" w:hAnsiTheme="minorHAnsi"/>
          <w:b/>
          <w:sz w:val="22"/>
          <w:szCs w:val="22"/>
        </w:rPr>
        <w:lastRenderedPageBreak/>
        <w:t>Individual Bid ITT</w:t>
      </w:r>
      <w:r w:rsidR="00E568C8">
        <w:rPr>
          <w:rFonts w:asciiTheme="minorHAnsi" w:hAnsiTheme="minorHAnsi"/>
          <w:b/>
          <w:sz w:val="22"/>
          <w:szCs w:val="22"/>
        </w:rPr>
        <w:t>(s)</w:t>
      </w:r>
      <w:r w:rsidR="00CD1E22">
        <w:rPr>
          <w:rFonts w:asciiTheme="minorHAnsi" w:hAnsiTheme="minorHAnsi"/>
          <w:b/>
          <w:sz w:val="22"/>
          <w:szCs w:val="22"/>
        </w:rPr>
        <w:t xml:space="preserve"> and Delivery Plans</w:t>
      </w:r>
    </w:p>
    <w:p w14:paraId="142DCC46" w14:textId="77777777" w:rsidR="00BC5ACF" w:rsidRDefault="00BC5ACF" w:rsidP="00720FD4">
      <w:pPr>
        <w:pStyle w:val="Default"/>
        <w:jc w:val="both"/>
        <w:rPr>
          <w:rFonts w:ascii="Calibri" w:hAnsi="Calibri"/>
          <w:sz w:val="22"/>
          <w:szCs w:val="22"/>
        </w:rPr>
      </w:pPr>
    </w:p>
    <w:p w14:paraId="3C026303" w14:textId="77777777" w:rsidR="00E568C8" w:rsidRDefault="00E568C8" w:rsidP="00720FD4">
      <w:pPr>
        <w:pStyle w:val="Default"/>
        <w:jc w:val="both"/>
        <w:rPr>
          <w:rFonts w:ascii="Calibri" w:hAnsi="Calibri"/>
          <w:sz w:val="22"/>
          <w:szCs w:val="22"/>
        </w:rPr>
      </w:pPr>
      <w:r>
        <w:rPr>
          <w:rFonts w:ascii="Calibri" w:hAnsi="Calibri"/>
          <w:sz w:val="22"/>
          <w:szCs w:val="22"/>
        </w:rPr>
        <w:t>Each ITT is split into a number of different sections.</w:t>
      </w:r>
    </w:p>
    <w:p w14:paraId="429D2BCD" w14:textId="77777777" w:rsidR="00E568C8" w:rsidRDefault="00E568C8" w:rsidP="00720FD4">
      <w:pPr>
        <w:pStyle w:val="Default"/>
        <w:jc w:val="both"/>
        <w:rPr>
          <w:rFonts w:ascii="Calibri" w:hAnsi="Calibri"/>
          <w:sz w:val="22"/>
          <w:szCs w:val="22"/>
        </w:rPr>
      </w:pPr>
    </w:p>
    <w:p w14:paraId="22A63CC7" w14:textId="77777777" w:rsidR="00E568C8" w:rsidRPr="007629A1" w:rsidRDefault="00E568C8" w:rsidP="00720FD4">
      <w:pPr>
        <w:pStyle w:val="Default"/>
        <w:jc w:val="both"/>
        <w:rPr>
          <w:rFonts w:ascii="Calibri" w:hAnsi="Calibri"/>
          <w:sz w:val="22"/>
          <w:szCs w:val="22"/>
          <w:u w:val="single"/>
        </w:rPr>
      </w:pPr>
      <w:r w:rsidRPr="007629A1">
        <w:rPr>
          <w:rFonts w:ascii="Calibri" w:hAnsi="Calibri"/>
          <w:sz w:val="22"/>
          <w:szCs w:val="22"/>
          <w:u w:val="single"/>
        </w:rPr>
        <w:t>Section A</w:t>
      </w:r>
    </w:p>
    <w:p w14:paraId="5E7667F2" w14:textId="77777777" w:rsidR="00E568C8" w:rsidRDefault="00E568C8" w:rsidP="00720FD4">
      <w:pPr>
        <w:pStyle w:val="Default"/>
        <w:jc w:val="both"/>
        <w:rPr>
          <w:rFonts w:ascii="Calibri" w:hAnsi="Calibri"/>
          <w:sz w:val="22"/>
          <w:szCs w:val="22"/>
        </w:rPr>
      </w:pPr>
    </w:p>
    <w:p w14:paraId="7F7E9DF4" w14:textId="77777777" w:rsidR="00E568C8" w:rsidRPr="007629A1" w:rsidRDefault="00E568C8" w:rsidP="00720FD4">
      <w:pPr>
        <w:pStyle w:val="Default"/>
        <w:jc w:val="both"/>
        <w:rPr>
          <w:rFonts w:asciiTheme="minorHAnsi" w:hAnsiTheme="minorHAnsi" w:cstheme="minorHAnsi"/>
          <w:sz w:val="22"/>
          <w:szCs w:val="22"/>
        </w:rPr>
      </w:pPr>
      <w:r w:rsidRPr="007629A1">
        <w:rPr>
          <w:rFonts w:asciiTheme="minorHAnsi" w:hAnsiTheme="minorHAnsi" w:cstheme="minorHAnsi"/>
          <w:sz w:val="22"/>
          <w:szCs w:val="22"/>
        </w:rPr>
        <w:t>Section A of each ITT genera</w:t>
      </w:r>
      <w:r w:rsidR="00AA15C9" w:rsidRPr="00AA15C9">
        <w:rPr>
          <w:rFonts w:asciiTheme="minorHAnsi" w:hAnsiTheme="minorHAnsi" w:cstheme="minorHAnsi"/>
          <w:sz w:val="22"/>
          <w:szCs w:val="22"/>
        </w:rPr>
        <w:t>lly requires office details and</w:t>
      </w:r>
      <w:r w:rsidR="00AA15C9">
        <w:rPr>
          <w:rFonts w:asciiTheme="minorHAnsi" w:hAnsiTheme="minorHAnsi" w:cstheme="minorHAnsi"/>
          <w:sz w:val="22"/>
          <w:szCs w:val="22"/>
        </w:rPr>
        <w:t xml:space="preserve">, for the majority of ITTs, </w:t>
      </w:r>
      <w:r w:rsidRPr="007629A1">
        <w:rPr>
          <w:rFonts w:asciiTheme="minorHAnsi" w:hAnsiTheme="minorHAnsi" w:cstheme="minorHAnsi"/>
          <w:sz w:val="22"/>
          <w:szCs w:val="22"/>
        </w:rPr>
        <w:t xml:space="preserve">confirmation of the </w:t>
      </w:r>
      <w:r w:rsidR="00AA15C9">
        <w:rPr>
          <w:rFonts w:asciiTheme="minorHAnsi" w:hAnsiTheme="minorHAnsi" w:cstheme="minorHAnsi"/>
          <w:sz w:val="22"/>
          <w:szCs w:val="22"/>
        </w:rPr>
        <w:t>number of matter starts you are bidding for.</w:t>
      </w:r>
    </w:p>
    <w:p w14:paraId="377EA130" w14:textId="77777777" w:rsidR="001358C8" w:rsidRPr="007629A1" w:rsidRDefault="001358C8" w:rsidP="00720FD4">
      <w:pPr>
        <w:pStyle w:val="Default"/>
        <w:jc w:val="both"/>
        <w:rPr>
          <w:rFonts w:asciiTheme="minorHAnsi" w:hAnsiTheme="minorHAnsi" w:cstheme="minorHAnsi"/>
          <w:sz w:val="22"/>
          <w:szCs w:val="22"/>
        </w:rPr>
      </w:pPr>
    </w:p>
    <w:p w14:paraId="0FFA788B" w14:textId="77777777" w:rsidR="008B58F2" w:rsidRDefault="001358C8" w:rsidP="00720FD4">
      <w:pPr>
        <w:pStyle w:val="Default"/>
        <w:jc w:val="both"/>
        <w:rPr>
          <w:rFonts w:ascii="Calibri" w:hAnsi="Calibri" w:cs="Calibri"/>
          <w:sz w:val="22"/>
          <w:szCs w:val="22"/>
        </w:rPr>
      </w:pPr>
      <w:r w:rsidRPr="007629A1">
        <w:rPr>
          <w:rFonts w:asciiTheme="minorHAnsi" w:hAnsiTheme="minorHAnsi" w:cstheme="minorHAnsi"/>
          <w:sz w:val="22"/>
          <w:szCs w:val="22"/>
        </w:rPr>
        <w:t>Most categor</w:t>
      </w:r>
      <w:r w:rsidR="008B58F2">
        <w:rPr>
          <w:rFonts w:asciiTheme="minorHAnsi" w:hAnsiTheme="minorHAnsi" w:cstheme="minorHAnsi"/>
          <w:sz w:val="22"/>
          <w:szCs w:val="22"/>
        </w:rPr>
        <w:t>ies are being tendered in lot</w:t>
      </w:r>
      <w:r w:rsidR="008B58F2" w:rsidRPr="008B58F2">
        <w:rPr>
          <w:rFonts w:asciiTheme="minorHAnsi" w:hAnsiTheme="minorHAnsi" w:cstheme="minorHAnsi"/>
          <w:sz w:val="22"/>
          <w:szCs w:val="22"/>
        </w:rPr>
        <w:t>s</w:t>
      </w:r>
      <w:r w:rsidR="008B58F2">
        <w:rPr>
          <w:rFonts w:asciiTheme="minorHAnsi" w:hAnsiTheme="minorHAnsi" w:cstheme="minorHAnsi"/>
          <w:sz w:val="22"/>
          <w:szCs w:val="22"/>
        </w:rPr>
        <w:t xml:space="preserve"> </w:t>
      </w:r>
      <w:r w:rsidR="008B58F2" w:rsidRPr="007629A1">
        <w:rPr>
          <w:rFonts w:asciiTheme="minorHAnsi" w:hAnsiTheme="minorHAnsi" w:cstheme="minorHAnsi"/>
          <w:sz w:val="22"/>
          <w:szCs w:val="22"/>
        </w:rPr>
        <w:t xml:space="preserve">for which you will need to demonstrate </w:t>
      </w:r>
      <w:r w:rsidR="008B58F2">
        <w:rPr>
          <w:rFonts w:asciiTheme="minorHAnsi" w:hAnsiTheme="minorHAnsi" w:cstheme="minorHAnsi"/>
          <w:sz w:val="22"/>
          <w:szCs w:val="22"/>
        </w:rPr>
        <w:t xml:space="preserve">(in the verification stage) </w:t>
      </w:r>
      <w:r w:rsidR="008B58F2" w:rsidRPr="007629A1">
        <w:rPr>
          <w:rFonts w:asciiTheme="minorHAnsi" w:hAnsiTheme="minorHAnsi" w:cstheme="minorHAnsi"/>
          <w:sz w:val="22"/>
          <w:szCs w:val="22"/>
        </w:rPr>
        <w:t xml:space="preserve">that you </w:t>
      </w:r>
      <w:r w:rsidR="008B58F2">
        <w:rPr>
          <w:rFonts w:asciiTheme="minorHAnsi" w:hAnsiTheme="minorHAnsi" w:cstheme="minorHAnsi"/>
          <w:sz w:val="22"/>
          <w:szCs w:val="22"/>
        </w:rPr>
        <w:t xml:space="preserve">meet the relevant </w:t>
      </w:r>
      <w:r w:rsidR="008B58F2" w:rsidRPr="007629A1">
        <w:rPr>
          <w:rFonts w:ascii="Calibri" w:hAnsi="Calibri" w:cs="Calibri"/>
          <w:sz w:val="22"/>
          <w:szCs w:val="22"/>
        </w:rPr>
        <w:t xml:space="preserve">criteria associated </w:t>
      </w:r>
      <w:r w:rsidR="00AA15C9">
        <w:rPr>
          <w:rFonts w:ascii="Calibri" w:hAnsi="Calibri" w:cs="Calibri"/>
          <w:sz w:val="22"/>
          <w:szCs w:val="22"/>
        </w:rPr>
        <w:t>to that lot</w:t>
      </w:r>
      <w:r w:rsidR="008B58F2" w:rsidRPr="007629A1">
        <w:rPr>
          <w:rFonts w:ascii="Calibri" w:hAnsi="Calibri" w:cs="Calibri"/>
          <w:sz w:val="22"/>
          <w:szCs w:val="22"/>
        </w:rPr>
        <w:t xml:space="preserve">.  This may include having fee earners with particular accreditations.  </w:t>
      </w:r>
    </w:p>
    <w:p w14:paraId="16EF38A0" w14:textId="77777777" w:rsidR="008B58F2" w:rsidRDefault="008B58F2" w:rsidP="00720FD4">
      <w:pPr>
        <w:pStyle w:val="Default"/>
        <w:jc w:val="both"/>
        <w:rPr>
          <w:rFonts w:ascii="Calibri" w:hAnsi="Calibri" w:cs="Calibri"/>
          <w:sz w:val="22"/>
          <w:szCs w:val="22"/>
        </w:rPr>
      </w:pPr>
    </w:p>
    <w:p w14:paraId="725C1A94" w14:textId="77777777" w:rsidR="001358C8" w:rsidRDefault="008B58F2" w:rsidP="00720FD4">
      <w:pPr>
        <w:pStyle w:val="Default"/>
        <w:jc w:val="both"/>
        <w:rPr>
          <w:rFonts w:asciiTheme="minorHAnsi" w:hAnsiTheme="minorHAnsi" w:cstheme="minorHAnsi"/>
          <w:sz w:val="22"/>
          <w:szCs w:val="22"/>
        </w:rPr>
      </w:pPr>
      <w:r w:rsidRPr="007629A1">
        <w:rPr>
          <w:rFonts w:ascii="Calibri" w:hAnsi="Calibri" w:cs="Calibri"/>
          <w:sz w:val="22"/>
          <w:szCs w:val="22"/>
        </w:rPr>
        <w:t xml:space="preserve">If you are </w:t>
      </w:r>
      <w:r>
        <w:rPr>
          <w:rFonts w:ascii="Calibri" w:hAnsi="Calibri" w:cs="Calibri"/>
          <w:sz w:val="22"/>
          <w:szCs w:val="22"/>
        </w:rPr>
        <w:t>wanting to</w:t>
      </w:r>
      <w:r w:rsidRPr="007629A1">
        <w:rPr>
          <w:rFonts w:ascii="Calibri" w:hAnsi="Calibri" w:cs="Calibri"/>
          <w:sz w:val="22"/>
          <w:szCs w:val="22"/>
        </w:rPr>
        <w:t xml:space="preserve"> significantly increase the number of matter </w:t>
      </w:r>
      <w:r w:rsidRPr="008B58F2">
        <w:rPr>
          <w:rFonts w:ascii="Calibri" w:hAnsi="Calibri" w:cs="Calibri"/>
          <w:sz w:val="22"/>
          <w:szCs w:val="22"/>
        </w:rPr>
        <w:t xml:space="preserve">starts </w:t>
      </w:r>
      <w:r>
        <w:rPr>
          <w:rFonts w:ascii="Calibri" w:hAnsi="Calibri" w:cs="Calibri"/>
          <w:sz w:val="22"/>
          <w:szCs w:val="22"/>
        </w:rPr>
        <w:t>you</w:t>
      </w:r>
      <w:r w:rsidRPr="007629A1">
        <w:rPr>
          <w:rFonts w:ascii="Calibri" w:hAnsi="Calibri" w:cs="Calibri"/>
          <w:sz w:val="22"/>
          <w:szCs w:val="22"/>
        </w:rPr>
        <w:t xml:space="preserve"> currently</w:t>
      </w:r>
      <w:r w:rsidRPr="008B58F2">
        <w:rPr>
          <w:rFonts w:ascii="Calibri" w:hAnsi="Calibri" w:cs="Calibri"/>
          <w:sz w:val="22"/>
          <w:szCs w:val="22"/>
        </w:rPr>
        <w:t xml:space="preserve"> deliver</w:t>
      </w:r>
      <w:r w:rsidRPr="007629A1">
        <w:rPr>
          <w:rFonts w:ascii="Calibri" w:hAnsi="Calibri" w:cs="Calibri"/>
          <w:sz w:val="22"/>
          <w:szCs w:val="22"/>
        </w:rPr>
        <w:t xml:space="preserve"> </w:t>
      </w:r>
      <w:r>
        <w:rPr>
          <w:rFonts w:ascii="Calibri" w:hAnsi="Calibri" w:cs="Calibri"/>
          <w:sz w:val="22"/>
          <w:szCs w:val="22"/>
        </w:rPr>
        <w:t xml:space="preserve">(that is, </w:t>
      </w:r>
      <w:r w:rsidRPr="007629A1">
        <w:rPr>
          <w:rFonts w:ascii="Calibri" w:hAnsi="Calibri" w:cs="Calibri"/>
          <w:sz w:val="22"/>
          <w:szCs w:val="22"/>
        </w:rPr>
        <w:t xml:space="preserve">if you haven’t delivered at least the </w:t>
      </w:r>
      <w:r>
        <w:rPr>
          <w:rFonts w:ascii="Calibri" w:hAnsi="Calibri" w:cs="Calibri"/>
          <w:sz w:val="22"/>
          <w:szCs w:val="22"/>
        </w:rPr>
        <w:t xml:space="preserve">same </w:t>
      </w:r>
      <w:r w:rsidRPr="007629A1">
        <w:rPr>
          <w:rFonts w:ascii="Calibri" w:hAnsi="Calibri" w:cs="Calibri"/>
          <w:sz w:val="22"/>
          <w:szCs w:val="22"/>
        </w:rPr>
        <w:t xml:space="preserve">number of </w:t>
      </w:r>
      <w:r>
        <w:rPr>
          <w:rFonts w:ascii="Calibri" w:hAnsi="Calibri" w:cs="Calibri"/>
          <w:sz w:val="22"/>
          <w:szCs w:val="22"/>
        </w:rPr>
        <w:t>matter starts</w:t>
      </w:r>
      <w:r w:rsidRPr="007629A1">
        <w:rPr>
          <w:rFonts w:ascii="Calibri" w:hAnsi="Calibri" w:cs="Calibri"/>
          <w:sz w:val="22"/>
          <w:szCs w:val="22"/>
        </w:rPr>
        <w:t xml:space="preserve"> you are bidding for between 1 September 2016 and 31 August 2017</w:t>
      </w:r>
      <w:r>
        <w:rPr>
          <w:rFonts w:ascii="Calibri" w:hAnsi="Calibri" w:cs="Calibri"/>
          <w:sz w:val="22"/>
          <w:szCs w:val="22"/>
        </w:rPr>
        <w:t>)</w:t>
      </w:r>
      <w:r w:rsidRPr="007629A1">
        <w:rPr>
          <w:rFonts w:ascii="Calibri" w:hAnsi="Calibri" w:cs="Calibri"/>
          <w:sz w:val="22"/>
          <w:szCs w:val="22"/>
        </w:rPr>
        <w:t>,</w:t>
      </w:r>
      <w:r>
        <w:rPr>
          <w:rFonts w:ascii="Calibri" w:hAnsi="Calibri" w:cs="Calibri"/>
          <w:sz w:val="22"/>
          <w:szCs w:val="22"/>
        </w:rPr>
        <w:t xml:space="preserve"> you are required to</w:t>
      </w:r>
      <w:r w:rsidRPr="007629A1">
        <w:rPr>
          <w:rFonts w:ascii="Calibri" w:hAnsi="Calibri" w:cs="Calibri"/>
          <w:sz w:val="22"/>
          <w:szCs w:val="22"/>
        </w:rPr>
        <w:t xml:space="preserve"> provide a Delivery Plan </w:t>
      </w:r>
      <w:r>
        <w:rPr>
          <w:rFonts w:ascii="Calibri" w:hAnsi="Calibri" w:cs="Calibri"/>
          <w:sz w:val="22"/>
          <w:szCs w:val="22"/>
        </w:rPr>
        <w:t>demonstrating</w:t>
      </w:r>
      <w:r w:rsidRPr="007629A1">
        <w:rPr>
          <w:rFonts w:ascii="Calibri" w:hAnsi="Calibri" w:cs="Calibri"/>
          <w:sz w:val="22"/>
          <w:szCs w:val="22"/>
        </w:rPr>
        <w:t xml:space="preserve"> how you </w:t>
      </w:r>
      <w:r>
        <w:rPr>
          <w:rFonts w:ascii="Calibri" w:hAnsi="Calibri" w:cs="Calibri"/>
          <w:sz w:val="22"/>
          <w:szCs w:val="22"/>
        </w:rPr>
        <w:t>propose to</w:t>
      </w:r>
      <w:r w:rsidRPr="007629A1">
        <w:rPr>
          <w:rFonts w:ascii="Calibri" w:hAnsi="Calibri" w:cs="Calibri"/>
          <w:sz w:val="22"/>
          <w:szCs w:val="22"/>
        </w:rPr>
        <w:t xml:space="preserve"> manage and deliver</w:t>
      </w:r>
      <w:r w:rsidRPr="008B58F2">
        <w:rPr>
          <w:rFonts w:asciiTheme="minorHAnsi" w:hAnsiTheme="minorHAnsi" w:cstheme="minorHAnsi"/>
          <w:sz w:val="22"/>
          <w:szCs w:val="22"/>
        </w:rPr>
        <w:t xml:space="preserve"> that number of</w:t>
      </w:r>
      <w:r>
        <w:rPr>
          <w:rFonts w:asciiTheme="minorHAnsi" w:hAnsiTheme="minorHAnsi" w:cstheme="minorHAnsi"/>
          <w:sz w:val="22"/>
          <w:szCs w:val="22"/>
        </w:rPr>
        <w:t xml:space="preserve"> matter starts</w:t>
      </w:r>
      <w:r w:rsidRPr="007629A1">
        <w:rPr>
          <w:rFonts w:asciiTheme="minorHAnsi" w:hAnsiTheme="minorHAnsi" w:cstheme="minorHAnsi"/>
          <w:sz w:val="22"/>
          <w:szCs w:val="22"/>
        </w:rPr>
        <w:t>.</w:t>
      </w:r>
      <w:r w:rsidR="001358C8" w:rsidRPr="007629A1">
        <w:rPr>
          <w:rFonts w:asciiTheme="minorHAnsi" w:hAnsiTheme="minorHAnsi" w:cstheme="minorHAnsi"/>
          <w:sz w:val="22"/>
          <w:szCs w:val="22"/>
        </w:rPr>
        <w:t xml:space="preserve"> </w:t>
      </w:r>
    </w:p>
    <w:p w14:paraId="52749268" w14:textId="77777777" w:rsidR="00B5625E" w:rsidRDefault="00B5625E" w:rsidP="00720FD4">
      <w:pPr>
        <w:pStyle w:val="Default"/>
        <w:jc w:val="both"/>
        <w:rPr>
          <w:rFonts w:asciiTheme="minorHAnsi" w:hAnsiTheme="minorHAnsi" w:cstheme="minorHAnsi"/>
          <w:sz w:val="22"/>
          <w:szCs w:val="22"/>
        </w:rPr>
      </w:pPr>
    </w:p>
    <w:p w14:paraId="5D217652" w14:textId="77777777" w:rsidR="00B5625E" w:rsidRDefault="00B5625E" w:rsidP="00B5625E">
      <w:pPr>
        <w:pStyle w:val="Default"/>
        <w:jc w:val="both"/>
        <w:rPr>
          <w:rFonts w:ascii="Calibri" w:hAnsi="Calibri"/>
          <w:sz w:val="22"/>
          <w:szCs w:val="22"/>
        </w:rPr>
      </w:pPr>
      <w:r w:rsidRPr="008225CA">
        <w:rPr>
          <w:rFonts w:asciiTheme="minorHAnsi" w:hAnsiTheme="minorHAnsi" w:cstheme="minorHAnsi"/>
          <w:sz w:val="22"/>
          <w:szCs w:val="22"/>
        </w:rPr>
        <w:t>If you do not need to draft a delivery plan</w:t>
      </w:r>
      <w:r>
        <w:rPr>
          <w:rFonts w:asciiTheme="minorHAnsi" w:hAnsiTheme="minorHAnsi" w:cstheme="minorHAnsi"/>
          <w:sz w:val="22"/>
          <w:szCs w:val="22"/>
        </w:rPr>
        <w:t xml:space="preserve"> for mater starts above the standard lot allocations</w:t>
      </w:r>
      <w:r w:rsidRPr="008225CA">
        <w:rPr>
          <w:rFonts w:asciiTheme="minorHAnsi" w:hAnsiTheme="minorHAnsi" w:cstheme="minorHAnsi"/>
          <w:sz w:val="22"/>
          <w:szCs w:val="22"/>
        </w:rPr>
        <w:t xml:space="preserve"> or provide a business case for miscellaneous matter starts</w:t>
      </w:r>
      <w:r>
        <w:rPr>
          <w:rFonts w:asciiTheme="minorHAnsi" w:hAnsiTheme="minorHAnsi" w:cstheme="minorHAnsi"/>
          <w:sz w:val="22"/>
          <w:szCs w:val="22"/>
        </w:rPr>
        <w:t xml:space="preserve"> (see below)</w:t>
      </w:r>
      <w:r w:rsidRPr="008225CA">
        <w:rPr>
          <w:rFonts w:asciiTheme="minorHAnsi" w:hAnsiTheme="minorHAnsi" w:cstheme="minorHAnsi"/>
          <w:sz w:val="22"/>
          <w:szCs w:val="22"/>
        </w:rPr>
        <w:t>,</w:t>
      </w:r>
      <w:r>
        <w:rPr>
          <w:rFonts w:ascii="Calibri" w:hAnsi="Calibri"/>
          <w:sz w:val="22"/>
          <w:szCs w:val="22"/>
        </w:rPr>
        <w:t xml:space="preserve"> the ITTs are relatively short.  </w:t>
      </w:r>
    </w:p>
    <w:p w14:paraId="6FC80AC8" w14:textId="77777777" w:rsidR="008B58F2" w:rsidRPr="007629A1" w:rsidRDefault="008B58F2" w:rsidP="00720FD4">
      <w:pPr>
        <w:pStyle w:val="Default"/>
        <w:jc w:val="both"/>
        <w:rPr>
          <w:rFonts w:asciiTheme="minorHAnsi" w:hAnsiTheme="minorHAnsi" w:cstheme="minorHAnsi"/>
          <w:sz w:val="22"/>
          <w:szCs w:val="22"/>
        </w:rPr>
      </w:pPr>
    </w:p>
    <w:p w14:paraId="68528E45" w14:textId="2638F3B3" w:rsidR="00AA15C9" w:rsidRPr="00AA15C9" w:rsidRDefault="00AA15C9" w:rsidP="00720FD4">
      <w:pPr>
        <w:pStyle w:val="Default"/>
        <w:jc w:val="both"/>
        <w:rPr>
          <w:rFonts w:ascii="Calibri" w:hAnsi="Calibri"/>
          <w:sz w:val="22"/>
          <w:szCs w:val="22"/>
        </w:rPr>
      </w:pPr>
      <w:r>
        <w:rPr>
          <w:rFonts w:ascii="Calibri" w:hAnsi="Calibri"/>
          <w:sz w:val="22"/>
          <w:szCs w:val="22"/>
          <w:u w:val="single"/>
        </w:rPr>
        <w:t>Delivery Plan</w:t>
      </w:r>
    </w:p>
    <w:p w14:paraId="4228D165" w14:textId="77777777" w:rsidR="00E568C8" w:rsidRDefault="00E568C8" w:rsidP="00720FD4">
      <w:pPr>
        <w:pStyle w:val="Default"/>
        <w:jc w:val="both"/>
        <w:rPr>
          <w:rFonts w:ascii="Calibri" w:hAnsi="Calibri"/>
          <w:sz w:val="22"/>
          <w:szCs w:val="22"/>
        </w:rPr>
      </w:pPr>
    </w:p>
    <w:p w14:paraId="204BE9BA" w14:textId="32FECE35" w:rsidR="00BC5ACF" w:rsidRDefault="00BC5ACF" w:rsidP="00720FD4">
      <w:pPr>
        <w:pStyle w:val="Default"/>
        <w:jc w:val="both"/>
        <w:rPr>
          <w:rFonts w:ascii="Calibri" w:hAnsi="Calibri"/>
          <w:sz w:val="22"/>
          <w:szCs w:val="22"/>
        </w:rPr>
      </w:pPr>
      <w:r>
        <w:rPr>
          <w:rFonts w:ascii="Calibri" w:hAnsi="Calibri"/>
          <w:sz w:val="22"/>
          <w:szCs w:val="22"/>
        </w:rPr>
        <w:t xml:space="preserve">If </w:t>
      </w:r>
      <w:r w:rsidR="00AA15C9">
        <w:rPr>
          <w:rFonts w:ascii="Calibri" w:hAnsi="Calibri"/>
          <w:sz w:val="22"/>
          <w:szCs w:val="22"/>
        </w:rPr>
        <w:t>you do</w:t>
      </w:r>
      <w:r>
        <w:rPr>
          <w:rFonts w:ascii="Calibri" w:hAnsi="Calibri"/>
          <w:sz w:val="22"/>
          <w:szCs w:val="22"/>
        </w:rPr>
        <w:t xml:space="preserve"> need to prepare a delivery plan then you’ll need to prepare a number of carefully worded answers.</w:t>
      </w:r>
      <w:r w:rsidR="00B409A1">
        <w:rPr>
          <w:rFonts w:ascii="Calibri" w:hAnsi="Calibri"/>
          <w:sz w:val="22"/>
          <w:szCs w:val="22"/>
        </w:rPr>
        <w:t xml:space="preserve"> This is not a competitive exercise. The Assessor will make a decision based simply upon whether they are convinced that you can deliver the number of matter starts that you have asked for. </w:t>
      </w:r>
    </w:p>
    <w:p w14:paraId="1B523A85" w14:textId="77777777" w:rsidR="00BC5ACF" w:rsidRDefault="00BC5ACF" w:rsidP="00720FD4">
      <w:pPr>
        <w:pStyle w:val="Default"/>
        <w:jc w:val="both"/>
        <w:rPr>
          <w:rFonts w:ascii="Calibri" w:hAnsi="Calibri"/>
          <w:sz w:val="22"/>
          <w:szCs w:val="22"/>
        </w:rPr>
      </w:pPr>
    </w:p>
    <w:p w14:paraId="3C9BD1C4" w14:textId="77777777" w:rsidR="00BC5ACF" w:rsidRDefault="00E03C15" w:rsidP="00720FD4">
      <w:pPr>
        <w:pStyle w:val="Default"/>
        <w:jc w:val="both"/>
        <w:rPr>
          <w:rFonts w:ascii="Calibri" w:hAnsi="Calibri"/>
          <w:sz w:val="22"/>
          <w:szCs w:val="22"/>
        </w:rPr>
      </w:pPr>
      <w:r>
        <w:rPr>
          <w:rFonts w:ascii="Calibri" w:hAnsi="Calibri"/>
          <w:sz w:val="22"/>
          <w:szCs w:val="22"/>
        </w:rPr>
        <w:t xml:space="preserve">Let’s look at each question in turn. </w:t>
      </w:r>
    </w:p>
    <w:p w14:paraId="40CB10B0" w14:textId="77777777" w:rsidR="00BC5ACF" w:rsidRDefault="00BC5ACF" w:rsidP="00720FD4">
      <w:pPr>
        <w:pStyle w:val="Default"/>
        <w:jc w:val="both"/>
        <w:rPr>
          <w:rFonts w:ascii="Calibri" w:hAnsi="Calibri"/>
          <w:i/>
          <w:sz w:val="22"/>
          <w:szCs w:val="22"/>
        </w:rPr>
      </w:pPr>
    </w:p>
    <w:p w14:paraId="494C0A87" w14:textId="77777777" w:rsidR="00AA15C9" w:rsidRPr="00AA15C9" w:rsidRDefault="00AA15C9" w:rsidP="00AA15C9">
      <w:pPr>
        <w:pStyle w:val="Default"/>
        <w:jc w:val="both"/>
        <w:rPr>
          <w:rFonts w:ascii="Calibri" w:hAnsi="Calibri"/>
          <w:i/>
          <w:sz w:val="22"/>
          <w:szCs w:val="22"/>
          <w:u w:val="single"/>
        </w:rPr>
      </w:pPr>
      <w:r w:rsidRPr="00AA15C9">
        <w:rPr>
          <w:rFonts w:ascii="Calibri" w:hAnsi="Calibri"/>
          <w:i/>
          <w:sz w:val="22"/>
          <w:szCs w:val="22"/>
          <w:u w:val="single"/>
        </w:rPr>
        <w:t>Question 1</w:t>
      </w:r>
    </w:p>
    <w:p w14:paraId="053CA7AD" w14:textId="77777777" w:rsidR="00AA15C9" w:rsidRPr="00E03C15" w:rsidRDefault="00AA15C9" w:rsidP="00720FD4">
      <w:pPr>
        <w:pStyle w:val="Default"/>
        <w:jc w:val="both"/>
        <w:rPr>
          <w:rFonts w:ascii="Calibri" w:hAnsi="Calibri"/>
          <w:i/>
          <w:sz w:val="22"/>
          <w:szCs w:val="22"/>
        </w:rPr>
      </w:pPr>
    </w:p>
    <w:p w14:paraId="02F94808" w14:textId="74399181" w:rsidR="00BC5ACF" w:rsidRPr="00E03C15" w:rsidRDefault="00BC5ACF" w:rsidP="007629A1">
      <w:pPr>
        <w:pStyle w:val="Default"/>
        <w:jc w:val="both"/>
        <w:rPr>
          <w:rFonts w:ascii="Calibri" w:hAnsi="Calibri"/>
          <w:i/>
          <w:sz w:val="22"/>
          <w:szCs w:val="22"/>
        </w:rPr>
      </w:pPr>
      <w:r w:rsidRPr="00E03C15">
        <w:rPr>
          <w:rFonts w:ascii="Calibri" w:hAnsi="Calibri"/>
          <w:i/>
          <w:sz w:val="22"/>
          <w:szCs w:val="22"/>
        </w:rPr>
        <w:t>Please provide details of how you intend to build your capacity and caseload in order to deliver the full volume of cases bid for, including:</w:t>
      </w:r>
    </w:p>
    <w:p w14:paraId="304D0684" w14:textId="77777777" w:rsidR="00BC5ACF" w:rsidRPr="00E03C15" w:rsidRDefault="00BC5ACF" w:rsidP="00720FD4">
      <w:pPr>
        <w:pStyle w:val="Default"/>
        <w:jc w:val="both"/>
        <w:rPr>
          <w:rFonts w:ascii="Calibri" w:hAnsi="Calibri"/>
          <w:i/>
          <w:sz w:val="22"/>
          <w:szCs w:val="22"/>
        </w:rPr>
      </w:pPr>
    </w:p>
    <w:p w14:paraId="15FFC4DC" w14:textId="77777777" w:rsidR="00BC5ACF" w:rsidRPr="00E03C15" w:rsidRDefault="00BC5ACF" w:rsidP="00720FD4">
      <w:pPr>
        <w:pStyle w:val="Default"/>
        <w:ind w:left="1440"/>
        <w:jc w:val="both"/>
        <w:rPr>
          <w:rFonts w:ascii="Calibri" w:hAnsi="Calibri"/>
          <w:i/>
          <w:sz w:val="22"/>
          <w:szCs w:val="22"/>
        </w:rPr>
      </w:pPr>
      <w:r w:rsidRPr="00E03C15">
        <w:rPr>
          <w:rFonts w:ascii="Calibri" w:hAnsi="Calibri"/>
          <w:i/>
          <w:sz w:val="22"/>
          <w:szCs w:val="22"/>
        </w:rPr>
        <w:t>- How you will set and assess the key milestones (with dates) which will need to be met to ensure the delivery of the full volume of Matter Starts bid for; and</w:t>
      </w:r>
    </w:p>
    <w:p w14:paraId="102FDA4E" w14:textId="77777777" w:rsidR="00BC5ACF" w:rsidRPr="00E03C15" w:rsidRDefault="00BC5ACF" w:rsidP="00720FD4">
      <w:pPr>
        <w:pStyle w:val="Default"/>
        <w:jc w:val="both"/>
        <w:rPr>
          <w:rFonts w:ascii="Calibri" w:hAnsi="Calibri"/>
          <w:i/>
          <w:sz w:val="22"/>
          <w:szCs w:val="22"/>
        </w:rPr>
      </w:pPr>
    </w:p>
    <w:p w14:paraId="16D6A686" w14:textId="77777777" w:rsidR="00BC5ACF" w:rsidRPr="00E03C15" w:rsidRDefault="00BC5ACF" w:rsidP="00720FD4">
      <w:pPr>
        <w:pStyle w:val="Default"/>
        <w:ind w:left="1440"/>
        <w:jc w:val="both"/>
        <w:rPr>
          <w:rFonts w:ascii="Calibri" w:hAnsi="Calibri"/>
          <w:i/>
          <w:sz w:val="22"/>
          <w:szCs w:val="22"/>
        </w:rPr>
      </w:pPr>
      <w:r w:rsidRPr="00E03C15">
        <w:rPr>
          <w:rFonts w:ascii="Calibri" w:hAnsi="Calibri"/>
          <w:i/>
          <w:sz w:val="22"/>
          <w:szCs w:val="22"/>
        </w:rPr>
        <w:t xml:space="preserve">- Any recruitment required to deliver the volume of Matter Starts bid for (including the position recruits will hold in respect of this Face to Face Contract (e.g. Supervisor or caseworker), key qualifications and experience required, milestones and dates for the employment and training of those staff)           </w:t>
      </w:r>
    </w:p>
    <w:p w14:paraId="1670FACF" w14:textId="5F90024A" w:rsidR="00BC5ACF" w:rsidRDefault="00BC5ACF" w:rsidP="00720FD4">
      <w:pPr>
        <w:pStyle w:val="Default"/>
        <w:jc w:val="both"/>
        <w:rPr>
          <w:rFonts w:ascii="Calibri" w:hAnsi="Calibri"/>
          <w:sz w:val="22"/>
          <w:szCs w:val="22"/>
        </w:rPr>
      </w:pPr>
    </w:p>
    <w:p w14:paraId="075285E2" w14:textId="77777777" w:rsidR="00BC5ACF" w:rsidRDefault="00BC5ACF" w:rsidP="00720FD4">
      <w:pPr>
        <w:pStyle w:val="Default"/>
        <w:jc w:val="both"/>
        <w:rPr>
          <w:rFonts w:ascii="Calibri" w:hAnsi="Calibri"/>
          <w:sz w:val="22"/>
          <w:szCs w:val="22"/>
        </w:rPr>
      </w:pPr>
      <w:r>
        <w:rPr>
          <w:rFonts w:ascii="Calibri" w:hAnsi="Calibri"/>
          <w:sz w:val="22"/>
          <w:szCs w:val="22"/>
        </w:rPr>
        <w:t>The question is seeking your comments about your capacity and your recruitment processes.</w:t>
      </w:r>
    </w:p>
    <w:p w14:paraId="03E6E8CD" w14:textId="77777777" w:rsidR="00BC5ACF" w:rsidRDefault="00BC5ACF" w:rsidP="00720FD4">
      <w:pPr>
        <w:pStyle w:val="Default"/>
        <w:jc w:val="both"/>
        <w:rPr>
          <w:rFonts w:ascii="Calibri" w:hAnsi="Calibri"/>
          <w:sz w:val="22"/>
          <w:szCs w:val="22"/>
        </w:rPr>
      </w:pPr>
    </w:p>
    <w:p w14:paraId="4C7DAEB4" w14:textId="77777777" w:rsidR="00BC5ACF" w:rsidRDefault="00BC5ACF" w:rsidP="00720FD4">
      <w:pPr>
        <w:pStyle w:val="Default"/>
        <w:jc w:val="both"/>
        <w:rPr>
          <w:rFonts w:ascii="Calibri" w:hAnsi="Calibri"/>
          <w:sz w:val="22"/>
          <w:szCs w:val="22"/>
        </w:rPr>
      </w:pPr>
      <w:r>
        <w:rPr>
          <w:rFonts w:ascii="Calibri" w:hAnsi="Calibri"/>
          <w:sz w:val="22"/>
          <w:szCs w:val="22"/>
        </w:rPr>
        <w:t>Ensure that you deal with any specific anomalies or requirements relevant to the Procurement Area you are bidding in (if applicable) and the category of law especially where this impacts on recruitment needs.</w:t>
      </w:r>
    </w:p>
    <w:p w14:paraId="0CA40C01" w14:textId="77777777" w:rsidR="00BC5ACF" w:rsidRDefault="00BC5ACF" w:rsidP="00720FD4">
      <w:pPr>
        <w:pStyle w:val="Default"/>
        <w:jc w:val="both"/>
        <w:rPr>
          <w:rFonts w:ascii="Calibri" w:hAnsi="Calibri"/>
          <w:sz w:val="22"/>
          <w:szCs w:val="22"/>
        </w:rPr>
      </w:pPr>
    </w:p>
    <w:p w14:paraId="0C6D4953" w14:textId="77777777" w:rsidR="00BC5ACF" w:rsidRDefault="00BC5ACF" w:rsidP="00720FD4">
      <w:pPr>
        <w:pStyle w:val="Default"/>
        <w:jc w:val="both"/>
        <w:rPr>
          <w:rFonts w:ascii="Calibri" w:hAnsi="Calibri"/>
          <w:sz w:val="22"/>
          <w:szCs w:val="22"/>
        </w:rPr>
      </w:pPr>
      <w:r>
        <w:rPr>
          <w:rFonts w:ascii="Calibri" w:hAnsi="Calibri"/>
          <w:sz w:val="22"/>
          <w:szCs w:val="22"/>
        </w:rPr>
        <w:t xml:space="preserve">Ensure that you answer each of the individual parts of the question as differentiated by the dash marks.  </w:t>
      </w:r>
    </w:p>
    <w:p w14:paraId="57A2A927" w14:textId="77777777" w:rsidR="00BC5ACF" w:rsidRDefault="00BC5ACF" w:rsidP="00720FD4">
      <w:pPr>
        <w:pStyle w:val="Default"/>
        <w:jc w:val="both"/>
        <w:rPr>
          <w:rFonts w:ascii="Calibri" w:hAnsi="Calibri"/>
          <w:sz w:val="22"/>
          <w:szCs w:val="22"/>
        </w:rPr>
      </w:pPr>
    </w:p>
    <w:p w14:paraId="16401942" w14:textId="77777777" w:rsidR="00BC5ACF" w:rsidRPr="00E03C15" w:rsidRDefault="00BC5ACF" w:rsidP="007629A1">
      <w:pPr>
        <w:spacing w:after="0"/>
        <w:jc w:val="both"/>
      </w:pPr>
      <w:r w:rsidRPr="00E01494">
        <w:rPr>
          <w:rFonts w:ascii="Calibri" w:hAnsi="Calibri"/>
        </w:rPr>
        <w:lastRenderedPageBreak/>
        <w:t xml:space="preserve">Be specific in stating whether the position(s) are for caseworkers or supervisors, key qualification and experience required, milestones and dates for the employment and training of the staff.  </w:t>
      </w:r>
      <w:r>
        <w:rPr>
          <w:rFonts w:ascii="Calibri" w:hAnsi="Calibri"/>
        </w:rPr>
        <w:t xml:space="preserve">Factors to consider could include your ability to </w:t>
      </w:r>
      <w:r>
        <w:t xml:space="preserve">meet </w:t>
      </w:r>
      <w:r w:rsidRPr="001651D5">
        <w:t>the required ratio of supervisors to caseworkers</w:t>
      </w:r>
      <w:r>
        <w:t xml:space="preserve"> and having </w:t>
      </w:r>
      <w:r w:rsidRPr="001651D5">
        <w:t>caseworkers with appropriate qualifications and experience for the different level</w:t>
      </w:r>
      <w:r>
        <w:t>s</w:t>
      </w:r>
      <w:r w:rsidRPr="001651D5">
        <w:t xml:space="preserve"> of casework</w:t>
      </w:r>
      <w:r>
        <w:t>.</w:t>
      </w:r>
    </w:p>
    <w:p w14:paraId="3415B585" w14:textId="77777777" w:rsidR="00AA15C9" w:rsidRDefault="00AA15C9" w:rsidP="00720FD4">
      <w:pPr>
        <w:pStyle w:val="Default"/>
        <w:jc w:val="both"/>
        <w:rPr>
          <w:rFonts w:ascii="Calibri" w:hAnsi="Calibri"/>
          <w:sz w:val="22"/>
          <w:szCs w:val="22"/>
        </w:rPr>
      </w:pPr>
    </w:p>
    <w:p w14:paraId="3FE1802A" w14:textId="77777777" w:rsidR="00BC5ACF" w:rsidRDefault="00BC5ACF" w:rsidP="00720FD4">
      <w:pPr>
        <w:pStyle w:val="Default"/>
        <w:jc w:val="both"/>
        <w:rPr>
          <w:rFonts w:ascii="Calibri" w:hAnsi="Calibri"/>
          <w:sz w:val="22"/>
          <w:szCs w:val="22"/>
        </w:rPr>
      </w:pPr>
      <w:r>
        <w:rPr>
          <w:rFonts w:ascii="Calibri" w:hAnsi="Calibri"/>
          <w:sz w:val="22"/>
          <w:szCs w:val="22"/>
        </w:rPr>
        <w:t xml:space="preserve">If you need to recruit staff set out milestones, including dates, by which you can assess progress (such as advertising positions, short-listing and interviews).  </w:t>
      </w:r>
    </w:p>
    <w:p w14:paraId="48FEA4B9" w14:textId="77777777" w:rsidR="00BC5ACF" w:rsidRDefault="00BC5ACF" w:rsidP="00720FD4">
      <w:pPr>
        <w:pStyle w:val="Default"/>
        <w:jc w:val="both"/>
        <w:rPr>
          <w:rFonts w:ascii="Calibri" w:hAnsi="Calibri"/>
          <w:sz w:val="22"/>
          <w:szCs w:val="22"/>
        </w:rPr>
      </w:pPr>
    </w:p>
    <w:p w14:paraId="6C022266" w14:textId="77777777" w:rsidR="00BC5ACF" w:rsidRDefault="00BC5ACF" w:rsidP="00720FD4">
      <w:pPr>
        <w:pStyle w:val="Default"/>
        <w:jc w:val="both"/>
        <w:rPr>
          <w:rFonts w:ascii="Calibri" w:hAnsi="Calibri"/>
          <w:sz w:val="22"/>
          <w:szCs w:val="22"/>
        </w:rPr>
      </w:pPr>
      <w:r>
        <w:rPr>
          <w:rFonts w:ascii="Calibri" w:hAnsi="Calibri"/>
          <w:sz w:val="22"/>
          <w:szCs w:val="22"/>
        </w:rPr>
        <w:t xml:space="preserve">Even if you do not need to recruit, answer the question on the basis of your general processes and, importantly, on the basis that you have implemented a contingency plan which would be implemented should a vacancy arise before the Contract Start Date or during the Contract </w:t>
      </w:r>
      <w:r>
        <w:rPr>
          <w:rFonts w:asciiTheme="minorHAnsi" w:hAnsiTheme="minorHAnsi" w:cs="LucidaSans_PDF_Subset"/>
          <w:sz w:val="22"/>
          <w:szCs w:val="22"/>
        </w:rPr>
        <w:t>(this may or may not be the same as the contingency/succession plan the LAA have asked you to set out as part of question 3)</w:t>
      </w:r>
      <w:r>
        <w:rPr>
          <w:rFonts w:ascii="Calibri" w:hAnsi="Calibri"/>
          <w:sz w:val="22"/>
          <w:szCs w:val="22"/>
        </w:rPr>
        <w:t>.  Contingency planning would be a sensible approach for any organisation, irrespective of current size or standing.  There is a real risk that fee earners/supervisors may wish to leave your organisation to join other practices.  If the staff details provided in your Bid change at any time after the tender window closes (e.g. people leave your organisation to join other firms) then you may have the means to argue that you can still deliver on what you have set out in the delivery plan by putting into effect your contingency plan.</w:t>
      </w:r>
    </w:p>
    <w:p w14:paraId="28EE910D" w14:textId="77777777" w:rsidR="00BC5ACF" w:rsidRDefault="00BC5ACF" w:rsidP="00720FD4">
      <w:pPr>
        <w:pStyle w:val="Default"/>
        <w:jc w:val="both"/>
        <w:rPr>
          <w:rFonts w:ascii="Calibri" w:hAnsi="Calibri"/>
          <w:sz w:val="22"/>
          <w:szCs w:val="22"/>
        </w:rPr>
      </w:pPr>
    </w:p>
    <w:p w14:paraId="1321F244" w14:textId="77777777" w:rsidR="00BC5ACF" w:rsidRPr="00E03C15" w:rsidRDefault="00BC5ACF" w:rsidP="00720FD4">
      <w:pPr>
        <w:pStyle w:val="Default"/>
        <w:jc w:val="both"/>
        <w:rPr>
          <w:rFonts w:ascii="Calibri" w:hAnsi="Calibri"/>
          <w:i/>
          <w:sz w:val="22"/>
          <w:szCs w:val="22"/>
        </w:rPr>
      </w:pPr>
    </w:p>
    <w:p w14:paraId="1857DA9F" w14:textId="77777777" w:rsidR="00AA15C9" w:rsidRPr="008225CA" w:rsidRDefault="00AA15C9" w:rsidP="00AA15C9">
      <w:pPr>
        <w:pStyle w:val="Default"/>
        <w:jc w:val="both"/>
        <w:rPr>
          <w:rFonts w:ascii="Calibri" w:hAnsi="Calibri"/>
          <w:i/>
          <w:sz w:val="22"/>
          <w:szCs w:val="22"/>
          <w:u w:val="single"/>
        </w:rPr>
      </w:pPr>
      <w:r w:rsidRPr="008225CA">
        <w:rPr>
          <w:rFonts w:ascii="Calibri" w:hAnsi="Calibri"/>
          <w:i/>
          <w:sz w:val="22"/>
          <w:szCs w:val="22"/>
          <w:u w:val="single"/>
        </w:rPr>
        <w:t xml:space="preserve">Question </w:t>
      </w:r>
      <w:r>
        <w:rPr>
          <w:rFonts w:ascii="Calibri" w:hAnsi="Calibri"/>
          <w:i/>
          <w:sz w:val="22"/>
          <w:szCs w:val="22"/>
          <w:u w:val="single"/>
        </w:rPr>
        <w:t>2</w:t>
      </w:r>
    </w:p>
    <w:p w14:paraId="7D6AB6E9" w14:textId="77777777" w:rsidR="00BC5ACF" w:rsidRPr="00E03C15" w:rsidRDefault="00BC5ACF" w:rsidP="00720FD4">
      <w:pPr>
        <w:pStyle w:val="Default"/>
        <w:jc w:val="both"/>
        <w:rPr>
          <w:rFonts w:ascii="Calibri" w:hAnsi="Calibri"/>
          <w:i/>
          <w:sz w:val="22"/>
          <w:szCs w:val="22"/>
        </w:rPr>
      </w:pPr>
    </w:p>
    <w:p w14:paraId="01F80ED8" w14:textId="59F4B6A2" w:rsidR="00BC5ACF" w:rsidRPr="00E03C15" w:rsidRDefault="00BC5ACF" w:rsidP="007629A1">
      <w:pPr>
        <w:pStyle w:val="Default"/>
        <w:jc w:val="both"/>
        <w:rPr>
          <w:rFonts w:ascii="Calibri" w:hAnsi="Calibri"/>
          <w:i/>
          <w:sz w:val="22"/>
          <w:szCs w:val="22"/>
        </w:rPr>
      </w:pPr>
      <w:r w:rsidRPr="00E03C15">
        <w:rPr>
          <w:rFonts w:ascii="Calibri" w:hAnsi="Calibri"/>
          <w:i/>
          <w:sz w:val="22"/>
          <w:szCs w:val="22"/>
        </w:rPr>
        <w:t>Please confirm how clients will access your services. Please include in your response specific details as to:</w:t>
      </w:r>
    </w:p>
    <w:p w14:paraId="245E343C" w14:textId="77777777" w:rsidR="00BC5ACF" w:rsidRPr="00E03C15" w:rsidRDefault="00BC5ACF" w:rsidP="00720FD4">
      <w:pPr>
        <w:pStyle w:val="Default"/>
        <w:jc w:val="both"/>
        <w:rPr>
          <w:rFonts w:ascii="Calibri" w:hAnsi="Calibri"/>
          <w:i/>
          <w:sz w:val="22"/>
          <w:szCs w:val="22"/>
        </w:rPr>
      </w:pPr>
    </w:p>
    <w:p w14:paraId="4D06AB61" w14:textId="77777777" w:rsidR="00BC5ACF" w:rsidRPr="00E03C15" w:rsidRDefault="00BC5ACF" w:rsidP="00720FD4">
      <w:pPr>
        <w:pStyle w:val="Default"/>
        <w:ind w:firstLine="720"/>
        <w:jc w:val="both"/>
        <w:rPr>
          <w:rFonts w:ascii="Calibri" w:hAnsi="Calibri"/>
          <w:i/>
          <w:sz w:val="22"/>
          <w:szCs w:val="22"/>
        </w:rPr>
      </w:pPr>
      <w:r w:rsidRPr="00E03C15">
        <w:rPr>
          <w:rFonts w:ascii="Calibri" w:hAnsi="Calibri"/>
          <w:i/>
          <w:sz w:val="22"/>
          <w:szCs w:val="22"/>
        </w:rPr>
        <w:t>- Any signposting and referral arrangements with other LAA providers; and</w:t>
      </w:r>
    </w:p>
    <w:p w14:paraId="13E980F5" w14:textId="77777777" w:rsidR="00BC5ACF" w:rsidRPr="00E03C15" w:rsidRDefault="00BC5ACF" w:rsidP="00720FD4">
      <w:pPr>
        <w:pStyle w:val="Default"/>
        <w:jc w:val="both"/>
        <w:rPr>
          <w:rFonts w:ascii="Calibri" w:hAnsi="Calibri"/>
          <w:i/>
          <w:sz w:val="22"/>
          <w:szCs w:val="22"/>
        </w:rPr>
      </w:pPr>
    </w:p>
    <w:p w14:paraId="0004ECE2" w14:textId="77777777" w:rsidR="00BC5ACF" w:rsidRPr="00E03C15" w:rsidRDefault="00BC5ACF" w:rsidP="00720FD4">
      <w:pPr>
        <w:pStyle w:val="Default"/>
        <w:ind w:left="720"/>
        <w:jc w:val="both"/>
        <w:rPr>
          <w:rFonts w:ascii="Calibri" w:hAnsi="Calibri"/>
          <w:i/>
          <w:sz w:val="22"/>
          <w:szCs w:val="22"/>
        </w:rPr>
      </w:pPr>
      <w:r w:rsidRPr="00E03C15">
        <w:rPr>
          <w:rFonts w:ascii="Calibri" w:hAnsi="Calibri"/>
          <w:i/>
          <w:sz w:val="22"/>
          <w:szCs w:val="22"/>
        </w:rPr>
        <w:t>- Any signposting and referral arrangements with non-legal aid providers, local charities or groups; and</w:t>
      </w:r>
    </w:p>
    <w:p w14:paraId="58003E37" w14:textId="77777777" w:rsidR="00BC5ACF" w:rsidRPr="00E03C15" w:rsidRDefault="00BC5ACF" w:rsidP="00720FD4">
      <w:pPr>
        <w:pStyle w:val="Default"/>
        <w:jc w:val="both"/>
        <w:rPr>
          <w:rFonts w:ascii="Calibri" w:hAnsi="Calibri"/>
          <w:i/>
          <w:sz w:val="22"/>
          <w:szCs w:val="22"/>
        </w:rPr>
      </w:pPr>
    </w:p>
    <w:p w14:paraId="1C5FB2F4" w14:textId="77777777" w:rsidR="00BC5ACF" w:rsidRPr="00E03C15" w:rsidRDefault="00BC5ACF" w:rsidP="00720FD4">
      <w:pPr>
        <w:pStyle w:val="Default"/>
        <w:ind w:firstLine="720"/>
        <w:jc w:val="both"/>
        <w:rPr>
          <w:rFonts w:ascii="Calibri" w:hAnsi="Calibri"/>
          <w:i/>
          <w:sz w:val="22"/>
          <w:szCs w:val="22"/>
        </w:rPr>
      </w:pPr>
      <w:r w:rsidRPr="00E03C15">
        <w:rPr>
          <w:rFonts w:ascii="Calibri" w:hAnsi="Calibri"/>
          <w:i/>
          <w:sz w:val="22"/>
          <w:szCs w:val="22"/>
        </w:rPr>
        <w:t>- Any other methods by which clients will be able to access your services.</w:t>
      </w:r>
    </w:p>
    <w:p w14:paraId="1E60FC5B" w14:textId="77777777" w:rsidR="00BC5ACF" w:rsidRPr="00E03C15" w:rsidRDefault="00BC5ACF" w:rsidP="00720FD4">
      <w:pPr>
        <w:pStyle w:val="Default"/>
        <w:jc w:val="both"/>
        <w:rPr>
          <w:rFonts w:ascii="Calibri" w:hAnsi="Calibri"/>
          <w:i/>
          <w:sz w:val="22"/>
          <w:szCs w:val="22"/>
        </w:rPr>
      </w:pPr>
    </w:p>
    <w:p w14:paraId="09BDEE01" w14:textId="77777777" w:rsidR="00BC5ACF" w:rsidRPr="00E03C15" w:rsidRDefault="00BC5ACF" w:rsidP="00720FD4">
      <w:pPr>
        <w:pStyle w:val="Default"/>
        <w:ind w:left="720"/>
        <w:jc w:val="both"/>
        <w:rPr>
          <w:rFonts w:ascii="Calibri" w:hAnsi="Calibri"/>
          <w:i/>
          <w:sz w:val="22"/>
          <w:szCs w:val="22"/>
        </w:rPr>
      </w:pPr>
      <w:r w:rsidRPr="00E03C15">
        <w:rPr>
          <w:rFonts w:ascii="Calibri" w:hAnsi="Calibri"/>
          <w:i/>
          <w:sz w:val="22"/>
          <w:szCs w:val="22"/>
        </w:rPr>
        <w:t xml:space="preserve">Where these signposting and referral arrangements are not currently in place, please include details of how you will establish them (including milestones and dates).       </w:t>
      </w:r>
    </w:p>
    <w:p w14:paraId="56603FA7" w14:textId="77777777" w:rsidR="00BC5ACF" w:rsidRDefault="00BC5ACF" w:rsidP="00720FD4">
      <w:pPr>
        <w:pStyle w:val="Default"/>
        <w:jc w:val="both"/>
        <w:rPr>
          <w:rFonts w:ascii="Calibri" w:hAnsi="Calibri"/>
          <w:sz w:val="22"/>
          <w:szCs w:val="22"/>
        </w:rPr>
      </w:pPr>
    </w:p>
    <w:p w14:paraId="4576D8B6" w14:textId="77777777" w:rsidR="00BC5ACF" w:rsidRDefault="00BC5ACF" w:rsidP="00720FD4">
      <w:pPr>
        <w:pStyle w:val="Default"/>
        <w:jc w:val="both"/>
        <w:rPr>
          <w:rFonts w:ascii="Calibri" w:hAnsi="Calibri"/>
          <w:sz w:val="22"/>
          <w:szCs w:val="22"/>
        </w:rPr>
      </w:pPr>
    </w:p>
    <w:p w14:paraId="7B649F4C" w14:textId="77777777" w:rsidR="00BC5ACF" w:rsidRDefault="00BC5ACF" w:rsidP="00720FD4">
      <w:pPr>
        <w:pStyle w:val="Default"/>
        <w:jc w:val="both"/>
        <w:rPr>
          <w:rFonts w:ascii="Calibri" w:hAnsi="Calibri"/>
          <w:sz w:val="22"/>
          <w:szCs w:val="22"/>
        </w:rPr>
      </w:pPr>
      <w:r>
        <w:rPr>
          <w:rFonts w:ascii="Calibri" w:hAnsi="Calibri"/>
          <w:sz w:val="22"/>
          <w:szCs w:val="22"/>
        </w:rPr>
        <w:t xml:space="preserve">Ensure that you answer each of the individual parts of the question as differentiated by the dash marks.  </w:t>
      </w:r>
    </w:p>
    <w:p w14:paraId="5E401700" w14:textId="77777777" w:rsidR="00BC5ACF" w:rsidRDefault="00BC5ACF" w:rsidP="00720FD4">
      <w:pPr>
        <w:pStyle w:val="Default"/>
        <w:jc w:val="both"/>
        <w:rPr>
          <w:rFonts w:ascii="Calibri" w:hAnsi="Calibri"/>
          <w:sz w:val="22"/>
          <w:szCs w:val="22"/>
        </w:rPr>
      </w:pPr>
    </w:p>
    <w:p w14:paraId="5BBF4685" w14:textId="77777777" w:rsidR="00BC5ACF" w:rsidRDefault="00BC5ACF" w:rsidP="00720FD4">
      <w:pPr>
        <w:pStyle w:val="Default"/>
        <w:jc w:val="both"/>
        <w:rPr>
          <w:rFonts w:ascii="Calibri" w:hAnsi="Calibri"/>
          <w:sz w:val="22"/>
          <w:szCs w:val="22"/>
        </w:rPr>
      </w:pPr>
      <w:r>
        <w:rPr>
          <w:rFonts w:ascii="Calibri" w:hAnsi="Calibri"/>
          <w:sz w:val="22"/>
          <w:szCs w:val="22"/>
        </w:rPr>
        <w:t>With regard to this question about how clients will access your services, include in your answer details covering:</w:t>
      </w:r>
    </w:p>
    <w:p w14:paraId="54014F41" w14:textId="77777777" w:rsidR="00BC5ACF" w:rsidRDefault="00BC5ACF" w:rsidP="00720FD4">
      <w:pPr>
        <w:pStyle w:val="Default"/>
        <w:jc w:val="both"/>
        <w:rPr>
          <w:rFonts w:ascii="Calibri" w:hAnsi="Calibri"/>
          <w:sz w:val="22"/>
          <w:szCs w:val="22"/>
        </w:rPr>
      </w:pPr>
    </w:p>
    <w:p w14:paraId="514A62E1" w14:textId="77777777" w:rsidR="00BC5ACF" w:rsidRDefault="00BC5ACF" w:rsidP="00720FD4">
      <w:pPr>
        <w:pStyle w:val="Default"/>
        <w:jc w:val="both"/>
        <w:rPr>
          <w:rFonts w:ascii="Calibri" w:hAnsi="Calibri"/>
          <w:sz w:val="22"/>
          <w:szCs w:val="22"/>
        </w:rPr>
      </w:pPr>
      <w:r>
        <w:rPr>
          <w:rFonts w:ascii="Calibri" w:hAnsi="Calibri"/>
          <w:sz w:val="22"/>
          <w:szCs w:val="22"/>
        </w:rPr>
        <w:t xml:space="preserve">•             Your office opening hours </w:t>
      </w:r>
    </w:p>
    <w:p w14:paraId="2DC02BA7" w14:textId="77777777" w:rsidR="00BC5ACF" w:rsidRDefault="00BC5ACF" w:rsidP="00720FD4">
      <w:pPr>
        <w:pStyle w:val="Default"/>
        <w:jc w:val="both"/>
        <w:rPr>
          <w:rFonts w:ascii="Calibri" w:hAnsi="Calibri"/>
          <w:sz w:val="22"/>
          <w:szCs w:val="22"/>
        </w:rPr>
      </w:pPr>
      <w:r>
        <w:rPr>
          <w:rFonts w:ascii="Calibri" w:hAnsi="Calibri"/>
          <w:sz w:val="22"/>
          <w:szCs w:val="22"/>
        </w:rPr>
        <w:t>•             Out of office services including say home visits and court advocacy</w:t>
      </w:r>
    </w:p>
    <w:p w14:paraId="40577E4F" w14:textId="77777777" w:rsidR="00BC5ACF" w:rsidRDefault="00BC5ACF" w:rsidP="00720FD4">
      <w:pPr>
        <w:pStyle w:val="Default"/>
        <w:jc w:val="both"/>
        <w:rPr>
          <w:rFonts w:ascii="Calibri" w:hAnsi="Calibri"/>
          <w:sz w:val="22"/>
          <w:szCs w:val="22"/>
        </w:rPr>
      </w:pPr>
      <w:r>
        <w:rPr>
          <w:rFonts w:ascii="Calibri" w:hAnsi="Calibri"/>
          <w:sz w:val="22"/>
          <w:szCs w:val="22"/>
        </w:rPr>
        <w:t>•             Services delivered by telephone and/or email</w:t>
      </w:r>
    </w:p>
    <w:p w14:paraId="779571F7" w14:textId="77777777" w:rsidR="00BC5ACF" w:rsidRDefault="00BC5ACF" w:rsidP="00720FD4">
      <w:pPr>
        <w:pStyle w:val="Default"/>
        <w:jc w:val="both"/>
        <w:rPr>
          <w:rFonts w:ascii="Calibri" w:hAnsi="Calibri"/>
          <w:sz w:val="22"/>
          <w:szCs w:val="22"/>
        </w:rPr>
      </w:pPr>
      <w:r>
        <w:rPr>
          <w:rFonts w:ascii="Calibri" w:hAnsi="Calibri"/>
          <w:sz w:val="22"/>
          <w:szCs w:val="22"/>
        </w:rPr>
        <w:t>•             Any electronic access including website, apps and other social media</w:t>
      </w:r>
    </w:p>
    <w:p w14:paraId="3B4205B2" w14:textId="77777777" w:rsidR="00BC5ACF" w:rsidRDefault="00BC5ACF" w:rsidP="00720FD4">
      <w:pPr>
        <w:pStyle w:val="Default"/>
        <w:jc w:val="both"/>
        <w:rPr>
          <w:rFonts w:ascii="Calibri" w:hAnsi="Calibri"/>
          <w:sz w:val="22"/>
          <w:szCs w:val="22"/>
        </w:rPr>
      </w:pPr>
    </w:p>
    <w:p w14:paraId="6EE145F8" w14:textId="77777777" w:rsidR="00BC5ACF" w:rsidRDefault="00BC5ACF" w:rsidP="00720FD4">
      <w:pPr>
        <w:pStyle w:val="Default"/>
        <w:jc w:val="both"/>
        <w:rPr>
          <w:rFonts w:ascii="Calibri" w:hAnsi="Calibri"/>
          <w:sz w:val="22"/>
          <w:szCs w:val="22"/>
        </w:rPr>
      </w:pPr>
      <w:r>
        <w:rPr>
          <w:rFonts w:ascii="Calibri" w:hAnsi="Calibri"/>
          <w:sz w:val="22"/>
          <w:szCs w:val="22"/>
        </w:rPr>
        <w:t>You must include specific details about firms, agencies and charities that signpost and/or refer clients to you or any reciprocal arrangements.</w:t>
      </w:r>
    </w:p>
    <w:p w14:paraId="53461FCC" w14:textId="77777777" w:rsidR="00BC5ACF" w:rsidRDefault="00BC5ACF" w:rsidP="00720FD4">
      <w:pPr>
        <w:pStyle w:val="Default"/>
        <w:jc w:val="both"/>
        <w:rPr>
          <w:rFonts w:ascii="Calibri" w:hAnsi="Calibri"/>
          <w:sz w:val="22"/>
          <w:szCs w:val="22"/>
        </w:rPr>
      </w:pPr>
    </w:p>
    <w:p w14:paraId="443EB3BE" w14:textId="77777777" w:rsidR="00BC5ACF" w:rsidRDefault="00BC5ACF" w:rsidP="00720FD4">
      <w:pPr>
        <w:pStyle w:val="Default"/>
        <w:jc w:val="both"/>
        <w:rPr>
          <w:rFonts w:ascii="Calibri" w:hAnsi="Calibri"/>
          <w:sz w:val="22"/>
          <w:szCs w:val="22"/>
        </w:rPr>
      </w:pPr>
      <w:r>
        <w:rPr>
          <w:rFonts w:ascii="Calibri" w:hAnsi="Calibri"/>
          <w:sz w:val="22"/>
          <w:szCs w:val="22"/>
        </w:rPr>
        <w:lastRenderedPageBreak/>
        <w:t>If you do not have any signposting or referral arrangements in place, you will need to set out how you will establish them.  This needs to be specific and time-based, including milestone dates by when you will have achieved your objectives.  For instance, you may consider creating written profiles/leaflets, organising network events and/or scheduling face-to-face meetings with potential referrers.  Set out the key dates by which these will take place so as to demonstrate that they will be in place by the Contract Start Date and the means for evaluating performance.</w:t>
      </w:r>
    </w:p>
    <w:p w14:paraId="348269AC" w14:textId="77777777" w:rsidR="00BC5ACF" w:rsidRDefault="00BC5ACF" w:rsidP="00720FD4">
      <w:pPr>
        <w:pStyle w:val="Default"/>
        <w:jc w:val="both"/>
        <w:rPr>
          <w:rFonts w:ascii="Calibri" w:hAnsi="Calibri"/>
          <w:sz w:val="22"/>
          <w:szCs w:val="22"/>
        </w:rPr>
      </w:pPr>
    </w:p>
    <w:p w14:paraId="0A1CC9AC" w14:textId="77777777" w:rsidR="00BC5ACF" w:rsidRDefault="00BC5ACF" w:rsidP="00720FD4">
      <w:pPr>
        <w:pStyle w:val="Default"/>
        <w:jc w:val="both"/>
        <w:rPr>
          <w:rFonts w:ascii="Calibri" w:hAnsi="Calibri"/>
          <w:sz w:val="22"/>
          <w:szCs w:val="22"/>
        </w:rPr>
      </w:pPr>
      <w:r>
        <w:rPr>
          <w:rFonts w:ascii="Calibri" w:hAnsi="Calibri"/>
          <w:sz w:val="22"/>
          <w:szCs w:val="22"/>
        </w:rPr>
        <w:t>You should also consider briefly defining signposting and, separately, referral to demonstrate you understand the difference.</w:t>
      </w:r>
    </w:p>
    <w:p w14:paraId="3537B3AB" w14:textId="77777777" w:rsidR="00BC5ACF" w:rsidRDefault="00BC5ACF" w:rsidP="00720FD4">
      <w:pPr>
        <w:pStyle w:val="Default"/>
        <w:jc w:val="both"/>
        <w:rPr>
          <w:rFonts w:ascii="Calibri" w:hAnsi="Calibri"/>
          <w:b/>
          <w:sz w:val="22"/>
          <w:szCs w:val="22"/>
        </w:rPr>
      </w:pPr>
    </w:p>
    <w:p w14:paraId="34F47D71" w14:textId="77777777" w:rsidR="00AA15C9" w:rsidRPr="007629A1" w:rsidRDefault="00AA15C9" w:rsidP="00720FD4">
      <w:pPr>
        <w:pStyle w:val="Default"/>
        <w:jc w:val="both"/>
        <w:rPr>
          <w:rFonts w:ascii="Calibri" w:hAnsi="Calibri"/>
          <w:i/>
          <w:sz w:val="22"/>
          <w:szCs w:val="22"/>
          <w:u w:val="single"/>
        </w:rPr>
      </w:pPr>
      <w:r w:rsidRPr="007629A1">
        <w:rPr>
          <w:rFonts w:ascii="Calibri" w:hAnsi="Calibri"/>
          <w:i/>
          <w:sz w:val="22"/>
          <w:szCs w:val="22"/>
          <w:u w:val="single"/>
        </w:rPr>
        <w:t>Question 3</w:t>
      </w:r>
    </w:p>
    <w:p w14:paraId="227D151F" w14:textId="77777777" w:rsidR="00AA15C9" w:rsidRDefault="00AA15C9" w:rsidP="00AA15C9">
      <w:pPr>
        <w:pStyle w:val="Default"/>
        <w:jc w:val="both"/>
        <w:rPr>
          <w:rFonts w:ascii="Calibri" w:hAnsi="Calibri"/>
          <w:i/>
          <w:sz w:val="22"/>
          <w:szCs w:val="22"/>
        </w:rPr>
      </w:pPr>
    </w:p>
    <w:p w14:paraId="339FFB2A" w14:textId="12D5FC18" w:rsidR="00BC5ACF" w:rsidRPr="007629A1" w:rsidRDefault="00BC5ACF" w:rsidP="00AA15C9">
      <w:pPr>
        <w:pStyle w:val="Default"/>
        <w:jc w:val="both"/>
        <w:rPr>
          <w:rFonts w:ascii="Calibri" w:hAnsi="Calibri"/>
          <w:i/>
          <w:sz w:val="22"/>
          <w:szCs w:val="22"/>
        </w:rPr>
      </w:pPr>
      <w:r w:rsidRPr="007629A1">
        <w:rPr>
          <w:rFonts w:ascii="Calibri" w:hAnsi="Calibri"/>
          <w:i/>
          <w:sz w:val="22"/>
          <w:szCs w:val="22"/>
        </w:rPr>
        <w:t>Please describe the arrangements in place for supervision, specifically to address:</w:t>
      </w:r>
    </w:p>
    <w:p w14:paraId="1B7336E1" w14:textId="77777777" w:rsidR="00BC5ACF" w:rsidRPr="007629A1" w:rsidRDefault="00BC5ACF" w:rsidP="00720FD4">
      <w:pPr>
        <w:pStyle w:val="Default"/>
        <w:jc w:val="both"/>
        <w:rPr>
          <w:rFonts w:ascii="Calibri" w:hAnsi="Calibri"/>
          <w:i/>
          <w:sz w:val="22"/>
          <w:szCs w:val="22"/>
        </w:rPr>
      </w:pPr>
    </w:p>
    <w:p w14:paraId="2E0D0731" w14:textId="77777777" w:rsidR="00BC5ACF" w:rsidRPr="007629A1" w:rsidRDefault="00BC5ACF" w:rsidP="00720FD4">
      <w:pPr>
        <w:pStyle w:val="Default"/>
        <w:ind w:firstLine="720"/>
        <w:jc w:val="both"/>
        <w:rPr>
          <w:rFonts w:ascii="Calibri" w:hAnsi="Calibri"/>
          <w:i/>
          <w:sz w:val="22"/>
          <w:szCs w:val="22"/>
        </w:rPr>
      </w:pPr>
      <w:r w:rsidRPr="007629A1">
        <w:rPr>
          <w:rFonts w:ascii="Calibri" w:hAnsi="Calibri"/>
          <w:i/>
          <w:sz w:val="22"/>
          <w:szCs w:val="22"/>
        </w:rPr>
        <w:t>- The increased volume of cases being conducted; and</w:t>
      </w:r>
    </w:p>
    <w:p w14:paraId="44D9B825" w14:textId="77777777" w:rsidR="00BC5ACF" w:rsidRPr="007629A1" w:rsidRDefault="00BC5ACF" w:rsidP="00720FD4">
      <w:pPr>
        <w:pStyle w:val="Default"/>
        <w:jc w:val="both"/>
        <w:rPr>
          <w:rFonts w:ascii="Calibri" w:hAnsi="Calibri"/>
          <w:i/>
          <w:sz w:val="22"/>
          <w:szCs w:val="22"/>
        </w:rPr>
      </w:pPr>
    </w:p>
    <w:p w14:paraId="6F7A3902" w14:textId="77777777" w:rsidR="00BC5ACF" w:rsidRPr="007629A1" w:rsidRDefault="00BC5ACF" w:rsidP="00720FD4">
      <w:pPr>
        <w:pStyle w:val="Default"/>
        <w:ind w:left="720"/>
        <w:jc w:val="both"/>
        <w:rPr>
          <w:rFonts w:ascii="Calibri" w:hAnsi="Calibri"/>
          <w:i/>
          <w:sz w:val="22"/>
          <w:szCs w:val="22"/>
        </w:rPr>
      </w:pPr>
      <w:r w:rsidRPr="007629A1">
        <w:rPr>
          <w:rFonts w:ascii="Calibri" w:hAnsi="Calibri"/>
          <w:i/>
          <w:sz w:val="22"/>
          <w:szCs w:val="22"/>
        </w:rPr>
        <w:t>- How specific tasks will be allocated and supervised where more than one caseworker will be conducting work on a client’s case; and</w:t>
      </w:r>
    </w:p>
    <w:p w14:paraId="3EE9EC33" w14:textId="77777777" w:rsidR="00BC5ACF" w:rsidRPr="007629A1" w:rsidRDefault="00BC5ACF" w:rsidP="00720FD4">
      <w:pPr>
        <w:pStyle w:val="Default"/>
        <w:jc w:val="both"/>
        <w:rPr>
          <w:rFonts w:ascii="Calibri" w:hAnsi="Calibri"/>
          <w:i/>
          <w:sz w:val="22"/>
          <w:szCs w:val="22"/>
        </w:rPr>
      </w:pPr>
    </w:p>
    <w:p w14:paraId="2F173EB7" w14:textId="77777777" w:rsidR="00BC5ACF" w:rsidRPr="007629A1" w:rsidRDefault="00BC5ACF" w:rsidP="00720FD4">
      <w:pPr>
        <w:pStyle w:val="Default"/>
        <w:ind w:firstLine="720"/>
        <w:jc w:val="both"/>
        <w:rPr>
          <w:rFonts w:ascii="Calibri" w:hAnsi="Calibri"/>
          <w:i/>
          <w:sz w:val="22"/>
          <w:szCs w:val="22"/>
        </w:rPr>
      </w:pPr>
      <w:r w:rsidRPr="007629A1">
        <w:rPr>
          <w:rFonts w:ascii="Calibri" w:hAnsi="Calibri"/>
          <w:i/>
          <w:sz w:val="22"/>
          <w:szCs w:val="22"/>
        </w:rPr>
        <w:t>- How the short-term absence of caseworkers and Supervisors will be managed; and</w:t>
      </w:r>
    </w:p>
    <w:p w14:paraId="29CDB252" w14:textId="77777777" w:rsidR="00BC5ACF" w:rsidRPr="007629A1" w:rsidRDefault="00BC5ACF" w:rsidP="00720FD4">
      <w:pPr>
        <w:pStyle w:val="Default"/>
        <w:jc w:val="both"/>
        <w:rPr>
          <w:rFonts w:ascii="Calibri" w:hAnsi="Calibri"/>
          <w:i/>
          <w:sz w:val="22"/>
          <w:szCs w:val="22"/>
        </w:rPr>
      </w:pPr>
    </w:p>
    <w:p w14:paraId="533EC456" w14:textId="77777777" w:rsidR="00BC5ACF" w:rsidRPr="007629A1" w:rsidRDefault="00BC5ACF" w:rsidP="00720FD4">
      <w:pPr>
        <w:pStyle w:val="Default"/>
        <w:ind w:firstLine="720"/>
        <w:jc w:val="both"/>
        <w:rPr>
          <w:rFonts w:ascii="Calibri" w:hAnsi="Calibri"/>
          <w:i/>
          <w:sz w:val="22"/>
          <w:szCs w:val="22"/>
        </w:rPr>
      </w:pPr>
      <w:r w:rsidRPr="007629A1">
        <w:rPr>
          <w:rFonts w:ascii="Calibri" w:hAnsi="Calibri"/>
          <w:i/>
          <w:sz w:val="22"/>
          <w:szCs w:val="22"/>
        </w:rPr>
        <w:t>- A summary of the contingency or succession plans for long-term absence or resignations.</w:t>
      </w:r>
    </w:p>
    <w:p w14:paraId="29FEFB33" w14:textId="77777777" w:rsidR="00BC5ACF" w:rsidRPr="007629A1" w:rsidRDefault="00BC5ACF" w:rsidP="007629A1">
      <w:pPr>
        <w:spacing w:after="0"/>
        <w:rPr>
          <w:i/>
        </w:rPr>
      </w:pPr>
    </w:p>
    <w:p w14:paraId="35F792D8" w14:textId="77777777" w:rsidR="00BC5ACF" w:rsidRDefault="00BC5ACF" w:rsidP="00720FD4">
      <w:pPr>
        <w:pStyle w:val="Default"/>
        <w:jc w:val="both"/>
        <w:rPr>
          <w:rFonts w:ascii="Calibri" w:hAnsi="Calibri"/>
          <w:sz w:val="22"/>
          <w:szCs w:val="22"/>
        </w:rPr>
      </w:pPr>
      <w:r>
        <w:rPr>
          <w:rFonts w:ascii="Calibri" w:hAnsi="Calibri"/>
          <w:sz w:val="22"/>
          <w:szCs w:val="22"/>
        </w:rPr>
        <w:t xml:space="preserve">Ensure that you answer each of the individual parts of the question as differentiated by the dash marks.  </w:t>
      </w:r>
    </w:p>
    <w:p w14:paraId="420DA462" w14:textId="3634D233" w:rsidR="00AA15C9" w:rsidRPr="00431391" w:rsidRDefault="00AA15C9" w:rsidP="007629A1">
      <w:pPr>
        <w:spacing w:after="0"/>
        <w:jc w:val="both"/>
        <w:rPr>
          <w:u w:val="single"/>
        </w:rPr>
      </w:pPr>
    </w:p>
    <w:p w14:paraId="206826BC" w14:textId="77777777" w:rsidR="00BC5ACF" w:rsidRDefault="00BC5ACF" w:rsidP="007629A1">
      <w:pPr>
        <w:spacing w:after="0"/>
        <w:jc w:val="both"/>
      </w:pPr>
      <w:r>
        <w:t>You need to explain the means by which you will allocate cases including who is responsible for allocation and factors they take into account such as capacity, expertise and the particulars of the case.</w:t>
      </w:r>
    </w:p>
    <w:p w14:paraId="56A2B9AF" w14:textId="77777777" w:rsidR="00AA15C9" w:rsidRDefault="00AA15C9" w:rsidP="007629A1">
      <w:pPr>
        <w:spacing w:after="0"/>
        <w:jc w:val="both"/>
      </w:pPr>
    </w:p>
    <w:p w14:paraId="3BBA620A" w14:textId="77777777" w:rsidR="00BC5ACF" w:rsidRDefault="00BC5ACF" w:rsidP="007629A1">
      <w:pPr>
        <w:spacing w:after="0"/>
        <w:jc w:val="both"/>
      </w:pPr>
      <w:r>
        <w:t>The question is specifically asking about how you deal with cases where more than one fee earner will be conducting work and so you should consider how this will be managed.  You may need to explain any particular hierarchy in your organisation and who is ultimately responsible for cases.   You may need to consider how specific tasks are allocated and managed and by whom.  Consider the factors you would take into account when considering allocation and supervision of specific tasks.</w:t>
      </w:r>
    </w:p>
    <w:p w14:paraId="5D4F876A" w14:textId="77777777" w:rsidR="00A0708F" w:rsidRDefault="00A0708F" w:rsidP="007629A1">
      <w:pPr>
        <w:spacing w:after="0"/>
        <w:jc w:val="both"/>
      </w:pPr>
    </w:p>
    <w:p w14:paraId="784FEFF2" w14:textId="527B3FE8" w:rsidR="00BC5ACF" w:rsidRDefault="00BC5ACF" w:rsidP="007629A1">
      <w:pPr>
        <w:spacing w:after="0"/>
        <w:jc w:val="both"/>
      </w:pPr>
      <w:r>
        <w:t>You may wish to consider the means by which such as reviews of caseloads and time recording in order to highlight any issues regarding allocation and under or over utilisation and how you deal with this on a practical level.</w:t>
      </w:r>
    </w:p>
    <w:p w14:paraId="2DB520B5" w14:textId="77777777" w:rsidR="00AA15C9" w:rsidRDefault="00AA15C9" w:rsidP="007629A1">
      <w:pPr>
        <w:spacing w:after="0"/>
        <w:jc w:val="both"/>
      </w:pPr>
    </w:p>
    <w:p w14:paraId="18B49B18" w14:textId="77777777" w:rsidR="00BC5ACF" w:rsidRDefault="00BC5ACF" w:rsidP="007629A1">
      <w:pPr>
        <w:spacing w:after="0"/>
        <w:jc w:val="both"/>
      </w:pPr>
      <w:r>
        <w:t>Explain your proposed supervision regime including the methods of supervision used.  This may include file reviews, group meetings (where more than one caseworker is involved), one to one meetings and other means for supervision.  You may wish to include information on how information from these methods is feedback to the staff members whether that be by means of appraisals or meetings or such like.  In addition, you could consider steps that may be taken subsequently such as amendments to training plans etc.</w:t>
      </w:r>
    </w:p>
    <w:p w14:paraId="63AEAB4D" w14:textId="77777777" w:rsidR="00BC5ACF" w:rsidRDefault="00BC5ACF" w:rsidP="007629A1">
      <w:pPr>
        <w:spacing w:after="0"/>
        <w:jc w:val="both"/>
      </w:pPr>
    </w:p>
    <w:p w14:paraId="63F13F9F" w14:textId="77777777" w:rsidR="00BC5ACF" w:rsidRDefault="00BC5ACF" w:rsidP="007629A1">
      <w:pPr>
        <w:spacing w:after="0"/>
        <w:jc w:val="both"/>
      </w:pPr>
      <w:r>
        <w:lastRenderedPageBreak/>
        <w:t>The question is asking you to demonstrate your knowledge and understanding about resource planning and management to ensure that capacity (and quality) is maintained through staff absences and despite staff departures.  The LAA is looking for confidence that, come what may, you will have enough staff available each day to deliver the number of matter starts you are seeking.</w:t>
      </w:r>
    </w:p>
    <w:p w14:paraId="3922AF2C" w14:textId="77777777" w:rsidR="00AA15C9" w:rsidRDefault="00AA15C9" w:rsidP="007629A1">
      <w:pPr>
        <w:spacing w:after="0"/>
        <w:jc w:val="both"/>
      </w:pPr>
    </w:p>
    <w:p w14:paraId="02A700DB" w14:textId="77777777" w:rsidR="00BC5ACF" w:rsidRDefault="00BC5ACF" w:rsidP="007629A1">
      <w:pPr>
        <w:spacing w:after="0"/>
        <w:jc w:val="both"/>
        <w:rPr>
          <w:spacing w:val="-1"/>
          <w:lang w:val="en-US"/>
        </w:rPr>
      </w:pPr>
      <w:r>
        <w:t>You may consider explaining your procedures for ensuring the management of planned and unplanned staff absences.  These may include r</w:t>
      </w:r>
      <w:proofErr w:type="spellStart"/>
      <w:r w:rsidRPr="00431391">
        <w:rPr>
          <w:spacing w:val="-1"/>
          <w:lang w:val="en-US"/>
        </w:rPr>
        <w:t>isk</w:t>
      </w:r>
      <w:proofErr w:type="spellEnd"/>
      <w:r w:rsidRPr="00431391">
        <w:rPr>
          <w:spacing w:val="-1"/>
          <w:lang w:val="en-US"/>
        </w:rPr>
        <w:t xml:space="preserve"> assessment </w:t>
      </w:r>
      <w:r>
        <w:rPr>
          <w:spacing w:val="-1"/>
          <w:lang w:val="en-US"/>
        </w:rPr>
        <w:t xml:space="preserve">or review </w:t>
      </w:r>
      <w:r w:rsidRPr="00431391">
        <w:rPr>
          <w:spacing w:val="-1"/>
          <w:lang w:val="en-US"/>
        </w:rPr>
        <w:t>procedures</w:t>
      </w:r>
      <w:r>
        <w:rPr>
          <w:spacing w:val="-1"/>
          <w:lang w:val="en-US"/>
        </w:rPr>
        <w:t>; p</w:t>
      </w:r>
      <w:proofErr w:type="spellStart"/>
      <w:r>
        <w:t>rocedures</w:t>
      </w:r>
      <w:proofErr w:type="spellEnd"/>
      <w:r>
        <w:t xml:space="preserve"> whereby all</w:t>
      </w:r>
      <w:r w:rsidRPr="007D5F17">
        <w:rPr>
          <w:spacing w:val="-1"/>
          <w:lang w:val="en-US"/>
        </w:rPr>
        <w:t xml:space="preserve"> staff members are required to book any holiday</w:t>
      </w:r>
      <w:r>
        <w:rPr>
          <w:spacing w:val="-1"/>
          <w:lang w:val="en-US"/>
        </w:rPr>
        <w:t>; and/or how you make</w:t>
      </w:r>
      <w:r>
        <w:t xml:space="preserve"> de</w:t>
      </w:r>
      <w:proofErr w:type="spellStart"/>
      <w:r w:rsidRPr="007D5F17">
        <w:rPr>
          <w:spacing w:val="-1"/>
          <w:lang w:val="en-US"/>
        </w:rPr>
        <w:t>cisions</w:t>
      </w:r>
      <w:proofErr w:type="spellEnd"/>
      <w:r>
        <w:rPr>
          <w:spacing w:val="-1"/>
          <w:lang w:val="en-US"/>
        </w:rPr>
        <w:t xml:space="preserve"> in relation to</w:t>
      </w:r>
      <w:r w:rsidRPr="007D5F17">
        <w:rPr>
          <w:spacing w:val="-1"/>
          <w:lang w:val="en-US"/>
        </w:rPr>
        <w:t xml:space="preserve"> requests for extended absence, taking into account any upcoming key dates, the availability of other staff members during the period of leave and any difficulties in arranging cover so as to ensure the smooth running of the </w:t>
      </w:r>
      <w:r>
        <w:rPr>
          <w:spacing w:val="-1"/>
          <w:lang w:val="en-US"/>
        </w:rPr>
        <w:t>organis</w:t>
      </w:r>
      <w:r w:rsidRPr="007D5F17">
        <w:rPr>
          <w:spacing w:val="-1"/>
          <w:lang w:val="en-US"/>
        </w:rPr>
        <w:t>ation and ability to meet service levels.</w:t>
      </w:r>
    </w:p>
    <w:p w14:paraId="5BD88B2D" w14:textId="77777777" w:rsidR="00AA15C9" w:rsidRDefault="00AA15C9" w:rsidP="007629A1">
      <w:pPr>
        <w:spacing w:after="0"/>
        <w:jc w:val="both"/>
      </w:pPr>
    </w:p>
    <w:p w14:paraId="1D603157" w14:textId="77777777" w:rsidR="00BC5ACF" w:rsidRDefault="00BC5ACF" w:rsidP="007629A1">
      <w:pPr>
        <w:spacing w:after="0"/>
        <w:jc w:val="both"/>
      </w:pPr>
      <w:r>
        <w:t xml:space="preserve">You could also consider the means by which you will keep staff motivated such that they do not adversely impact on the day to day operation by taking unexpected leave or indeed leaving the organisation altogether.  </w:t>
      </w:r>
    </w:p>
    <w:p w14:paraId="0E51A7FB" w14:textId="77777777" w:rsidR="00BC5ACF" w:rsidRDefault="00BC5ACF" w:rsidP="007629A1">
      <w:pPr>
        <w:spacing w:after="0"/>
      </w:pPr>
    </w:p>
    <w:p w14:paraId="153582BD" w14:textId="77777777" w:rsidR="00BC5ACF" w:rsidRDefault="00BC5ACF" w:rsidP="007629A1">
      <w:pPr>
        <w:spacing w:after="0"/>
        <w:jc w:val="both"/>
      </w:pPr>
      <w:r>
        <w:t>You may wish to consider how you plan for succession and having people in place to be elevated to management/supervisory level as time progresses.</w:t>
      </w:r>
    </w:p>
    <w:p w14:paraId="40E556EA" w14:textId="77777777" w:rsidR="00AA15C9" w:rsidRDefault="00AA15C9" w:rsidP="007629A1">
      <w:pPr>
        <w:spacing w:after="0"/>
        <w:jc w:val="both"/>
      </w:pPr>
    </w:p>
    <w:p w14:paraId="39442913" w14:textId="77777777" w:rsidR="00AA15C9" w:rsidRPr="00AA15C9" w:rsidRDefault="00AA15C9" w:rsidP="00AA15C9">
      <w:pPr>
        <w:spacing w:after="0"/>
        <w:jc w:val="both"/>
      </w:pPr>
      <w:r w:rsidRPr="00AA15C9">
        <w:t>Action plans may include identifying existing staff with relevant experience who could temporarily fill vacancies, recruitment plans (including sourcing candidates and interviewing), and by the Contract Start Date (or as required), any induction and other training and supervisory controls.</w:t>
      </w:r>
    </w:p>
    <w:p w14:paraId="06E87E1F" w14:textId="77777777" w:rsidR="00AA15C9" w:rsidRDefault="00AA15C9" w:rsidP="007629A1">
      <w:pPr>
        <w:spacing w:after="0"/>
        <w:jc w:val="both"/>
      </w:pPr>
    </w:p>
    <w:p w14:paraId="203B11ED" w14:textId="269EA637" w:rsidR="00AA15C9" w:rsidRPr="007629A1" w:rsidRDefault="00B409A1" w:rsidP="007629A1">
      <w:pPr>
        <w:spacing w:after="0"/>
        <w:jc w:val="both"/>
        <w:rPr>
          <w:i/>
        </w:rPr>
      </w:pPr>
      <w:r>
        <w:rPr>
          <w:i/>
        </w:rPr>
        <w:br/>
      </w:r>
      <w:r w:rsidRPr="007629A1">
        <w:rPr>
          <w:i/>
        </w:rPr>
        <w:t>Marking the Delivery Plan</w:t>
      </w:r>
    </w:p>
    <w:p w14:paraId="7B7E072D" w14:textId="2E39ED23" w:rsidR="001F3310" w:rsidRDefault="001F3310" w:rsidP="007629A1">
      <w:pPr>
        <w:spacing w:after="0"/>
        <w:jc w:val="both"/>
      </w:pPr>
    </w:p>
    <w:p w14:paraId="7F4B1E4B" w14:textId="675838E0" w:rsidR="001F3310" w:rsidRDefault="001F3310" w:rsidP="007629A1">
      <w:pPr>
        <w:spacing w:after="0"/>
        <w:jc w:val="both"/>
      </w:pPr>
      <w:r>
        <w:t xml:space="preserve">The IFA document unhelpfully does not include any information about </w:t>
      </w:r>
      <w:r w:rsidR="005625BC">
        <w:t xml:space="preserve">how they will assess delivery plans. It is worth considering how the LAA said they would score delivery plans required for the failed duty solicitor tender. </w:t>
      </w:r>
    </w:p>
    <w:p w14:paraId="3E8AC7B6" w14:textId="0EB35D4F" w:rsidR="00B409A1" w:rsidRDefault="00B409A1" w:rsidP="007629A1">
      <w:pPr>
        <w:spacing w:after="0"/>
        <w:jc w:val="both"/>
      </w:pPr>
    </w:p>
    <w:p w14:paraId="48B2BEE0" w14:textId="77777777" w:rsidR="00B409A1" w:rsidRDefault="00B409A1" w:rsidP="007629A1">
      <w:pPr>
        <w:spacing w:after="0"/>
        <w:jc w:val="both"/>
      </w:pPr>
      <w:r>
        <w:t>The markers were asked to consider the degree to which the answer:</w:t>
      </w:r>
    </w:p>
    <w:p w14:paraId="6773E85C" w14:textId="77777777" w:rsidR="00B409A1" w:rsidRDefault="00B409A1" w:rsidP="007629A1">
      <w:pPr>
        <w:spacing w:after="0"/>
        <w:jc w:val="both"/>
      </w:pPr>
    </w:p>
    <w:p w14:paraId="120F5C9E" w14:textId="2C873C7B" w:rsidR="00B409A1" w:rsidRDefault="00B409A1" w:rsidP="007629A1">
      <w:pPr>
        <w:pStyle w:val="ListParagraph"/>
        <w:numPr>
          <w:ilvl w:val="0"/>
          <w:numId w:val="17"/>
        </w:numPr>
        <w:spacing w:after="0"/>
        <w:jc w:val="both"/>
      </w:pPr>
      <w:r>
        <w:t xml:space="preserve">Addressed all issues / areas in a comprehensive manner </w:t>
      </w:r>
    </w:p>
    <w:p w14:paraId="013C28AD" w14:textId="14A8D1BA" w:rsidR="00B409A1" w:rsidRDefault="00B409A1" w:rsidP="007629A1">
      <w:pPr>
        <w:pStyle w:val="ListParagraph"/>
        <w:numPr>
          <w:ilvl w:val="0"/>
          <w:numId w:val="17"/>
        </w:numPr>
        <w:spacing w:after="0"/>
        <w:jc w:val="both"/>
      </w:pPr>
      <w:r>
        <w:t xml:space="preserve">Provided high quality / detailed information </w:t>
      </w:r>
    </w:p>
    <w:p w14:paraId="2B828944" w14:textId="66655123" w:rsidR="00B409A1" w:rsidRDefault="00B409A1" w:rsidP="007629A1">
      <w:pPr>
        <w:pStyle w:val="ListParagraph"/>
        <w:numPr>
          <w:ilvl w:val="0"/>
          <w:numId w:val="17"/>
        </w:numPr>
        <w:spacing w:after="0"/>
        <w:jc w:val="both"/>
      </w:pPr>
      <w:r>
        <w:t>Provided consistent information (i.e. answers did not contradict each other)</w:t>
      </w:r>
    </w:p>
    <w:p w14:paraId="51A1DC08" w14:textId="5DEA9ADB" w:rsidR="005625BC" w:rsidRDefault="005625BC" w:rsidP="007629A1">
      <w:pPr>
        <w:spacing w:after="0"/>
        <w:jc w:val="both"/>
      </w:pPr>
    </w:p>
    <w:p w14:paraId="5C7E9E88" w14:textId="1868959E" w:rsidR="005625BC" w:rsidRPr="005625BC" w:rsidRDefault="00A0708F" w:rsidP="005625BC">
      <w:pPr>
        <w:spacing w:after="0"/>
        <w:jc w:val="both"/>
      </w:pPr>
      <w:r>
        <w:t xml:space="preserve">If you ask a colleague </w:t>
      </w:r>
      <w:r w:rsidR="004E5984">
        <w:t>to assess your answer based on the bullet points above it should be helpful.</w:t>
      </w:r>
    </w:p>
    <w:p w14:paraId="0C43A1E6" w14:textId="7B310787" w:rsidR="005625BC" w:rsidRPr="001E3C0D" w:rsidRDefault="005625BC" w:rsidP="007629A1">
      <w:pPr>
        <w:spacing w:after="0"/>
        <w:jc w:val="both"/>
        <w:rPr>
          <w:i/>
        </w:rPr>
      </w:pPr>
      <w:r w:rsidRPr="005625BC">
        <w:rPr>
          <w:i/>
        </w:rPr>
        <w:br w:type="page"/>
      </w:r>
    </w:p>
    <w:p w14:paraId="152B8073" w14:textId="77777777" w:rsidR="00AA15C9" w:rsidRDefault="00AA15C9" w:rsidP="007629A1">
      <w:pPr>
        <w:spacing w:after="0"/>
        <w:jc w:val="both"/>
        <w:rPr>
          <w:u w:val="single"/>
        </w:rPr>
      </w:pPr>
      <w:r>
        <w:rPr>
          <w:u w:val="single"/>
        </w:rPr>
        <w:lastRenderedPageBreak/>
        <w:t>Section B</w:t>
      </w:r>
    </w:p>
    <w:p w14:paraId="40EB7CF7" w14:textId="77777777" w:rsidR="00AA15C9" w:rsidRPr="007629A1" w:rsidRDefault="00AA15C9" w:rsidP="007629A1">
      <w:pPr>
        <w:spacing w:after="0"/>
        <w:jc w:val="both"/>
        <w:rPr>
          <w:u w:val="single"/>
        </w:rPr>
      </w:pPr>
    </w:p>
    <w:p w14:paraId="2525EA9F" w14:textId="77777777" w:rsidR="00AA15C9" w:rsidRPr="008225CA" w:rsidRDefault="00AA15C9" w:rsidP="00AA15C9">
      <w:pPr>
        <w:pStyle w:val="Default"/>
        <w:jc w:val="both"/>
        <w:rPr>
          <w:rFonts w:asciiTheme="minorHAnsi" w:hAnsiTheme="minorHAnsi" w:cstheme="minorHAnsi"/>
          <w:sz w:val="22"/>
          <w:szCs w:val="22"/>
        </w:rPr>
      </w:pPr>
      <w:r w:rsidRPr="008225CA">
        <w:rPr>
          <w:rFonts w:asciiTheme="minorHAnsi" w:hAnsiTheme="minorHAnsi" w:cstheme="minorHAnsi"/>
          <w:sz w:val="22"/>
          <w:szCs w:val="22"/>
        </w:rPr>
        <w:t xml:space="preserve">In addition, in all categories except Family Mediation, you are able to bid for a number of </w:t>
      </w:r>
      <w:r>
        <w:rPr>
          <w:rFonts w:asciiTheme="minorHAnsi" w:hAnsiTheme="minorHAnsi" w:cstheme="minorHAnsi"/>
          <w:sz w:val="22"/>
          <w:szCs w:val="22"/>
        </w:rPr>
        <w:t xml:space="preserve">additional </w:t>
      </w:r>
      <w:r w:rsidRPr="008225CA">
        <w:rPr>
          <w:rFonts w:asciiTheme="minorHAnsi" w:hAnsiTheme="minorHAnsi" w:cstheme="minorHAnsi"/>
          <w:sz w:val="22"/>
          <w:szCs w:val="22"/>
        </w:rPr>
        <w:t>Miscellaneous matter starts</w:t>
      </w:r>
      <w:r>
        <w:rPr>
          <w:rFonts w:asciiTheme="minorHAnsi" w:hAnsiTheme="minorHAnsi" w:cstheme="minorHAnsi"/>
          <w:sz w:val="22"/>
          <w:szCs w:val="22"/>
        </w:rPr>
        <w:t xml:space="preserve"> to undertake </w:t>
      </w:r>
      <w:r w:rsidRPr="008B58F2">
        <w:rPr>
          <w:rFonts w:asciiTheme="minorHAnsi" w:hAnsiTheme="minorHAnsi" w:cstheme="minorHAnsi"/>
          <w:sz w:val="22"/>
          <w:szCs w:val="22"/>
        </w:rPr>
        <w:t xml:space="preserve">compensation claims for victims of human trafficking and/or modern </w:t>
      </w:r>
      <w:r w:rsidRPr="008225CA">
        <w:rPr>
          <w:rFonts w:asciiTheme="minorHAnsi" w:hAnsiTheme="minorHAnsi" w:cstheme="minorHAnsi"/>
          <w:sz w:val="22"/>
          <w:szCs w:val="22"/>
        </w:rPr>
        <w:t xml:space="preserve">slavery pursuant to paragraphs 32(2) and (3) and 32A (2) and (3) of Part 1 of Schedule 1 of LASPO.  If you want to you want to bid for </w:t>
      </w:r>
      <w:r>
        <w:rPr>
          <w:rFonts w:asciiTheme="minorHAnsi" w:hAnsiTheme="minorHAnsi" w:cstheme="minorHAnsi"/>
          <w:sz w:val="22"/>
          <w:szCs w:val="22"/>
        </w:rPr>
        <w:t>more than 25</w:t>
      </w:r>
      <w:r w:rsidRPr="008225CA">
        <w:rPr>
          <w:rFonts w:asciiTheme="minorHAnsi" w:hAnsiTheme="minorHAnsi" w:cstheme="minorHAnsi"/>
          <w:sz w:val="22"/>
          <w:szCs w:val="22"/>
        </w:rPr>
        <w:t xml:space="preserve"> Miscellaneous matter starts then you will have to </w:t>
      </w:r>
      <w:r>
        <w:rPr>
          <w:rFonts w:asciiTheme="minorHAnsi" w:hAnsiTheme="minorHAnsi" w:cstheme="minorHAnsi"/>
          <w:sz w:val="22"/>
          <w:szCs w:val="22"/>
        </w:rPr>
        <w:t>draft</w:t>
      </w:r>
      <w:r w:rsidRPr="008225CA">
        <w:rPr>
          <w:rFonts w:asciiTheme="minorHAnsi" w:hAnsiTheme="minorHAnsi" w:cstheme="minorHAnsi"/>
          <w:sz w:val="22"/>
          <w:szCs w:val="22"/>
        </w:rPr>
        <w:t xml:space="preserve"> a business case for having them.  </w:t>
      </w:r>
      <w:r w:rsidRPr="008225CA">
        <w:rPr>
          <w:rFonts w:asciiTheme="minorHAnsi" w:eastAsia="Times New Roman" w:hAnsiTheme="minorHAnsi" w:cstheme="minorHAnsi"/>
          <w:sz w:val="22"/>
          <w:szCs w:val="22"/>
          <w:lang w:eastAsia="en-GB"/>
        </w:rPr>
        <w:t>If you are submitting multiple ITT Responses, you do not need to provide a business case in each ITT and you may choose which ITT you use to provide the Business Case.</w:t>
      </w:r>
    </w:p>
    <w:p w14:paraId="3AA695E7" w14:textId="77777777" w:rsidR="00AA15C9" w:rsidRPr="00B5625E" w:rsidRDefault="00AA15C9" w:rsidP="00AA15C9">
      <w:pPr>
        <w:pStyle w:val="Default"/>
        <w:jc w:val="both"/>
        <w:rPr>
          <w:rFonts w:asciiTheme="minorHAnsi" w:hAnsiTheme="minorHAnsi" w:cstheme="minorHAnsi"/>
          <w:sz w:val="22"/>
          <w:szCs w:val="22"/>
        </w:rPr>
      </w:pPr>
    </w:p>
    <w:p w14:paraId="23D184FA" w14:textId="77777777" w:rsidR="00AA15C9" w:rsidRPr="00B5625E" w:rsidRDefault="00AA15C9" w:rsidP="007629A1">
      <w:pPr>
        <w:spacing w:after="0"/>
        <w:jc w:val="both"/>
        <w:rPr>
          <w:rFonts w:cstheme="minorHAnsi"/>
        </w:rPr>
      </w:pPr>
    </w:p>
    <w:p w14:paraId="61D011DB" w14:textId="1A22B8C6" w:rsidR="00AA15C9" w:rsidRPr="00B5625E" w:rsidRDefault="00B5625E" w:rsidP="00720FD4">
      <w:pPr>
        <w:pStyle w:val="Default"/>
        <w:jc w:val="both"/>
        <w:rPr>
          <w:rFonts w:asciiTheme="minorHAnsi" w:hAnsiTheme="minorHAnsi" w:cstheme="minorHAnsi"/>
          <w:sz w:val="22"/>
          <w:szCs w:val="22"/>
          <w:u w:val="single"/>
        </w:rPr>
      </w:pPr>
      <w:r w:rsidRPr="007629A1">
        <w:rPr>
          <w:rFonts w:asciiTheme="minorHAnsi" w:hAnsiTheme="minorHAnsi" w:cstheme="minorHAnsi"/>
          <w:sz w:val="22"/>
          <w:szCs w:val="22"/>
          <w:u w:val="single"/>
        </w:rPr>
        <w:t>Section C</w:t>
      </w:r>
      <w:bookmarkEnd w:id="0"/>
    </w:p>
    <w:p w14:paraId="5EFBD94E" w14:textId="77777777" w:rsidR="00722FA7" w:rsidRPr="00B5625E" w:rsidRDefault="00722FA7" w:rsidP="00720FD4">
      <w:pPr>
        <w:pStyle w:val="Default"/>
        <w:jc w:val="both"/>
        <w:rPr>
          <w:rFonts w:asciiTheme="minorHAnsi" w:hAnsiTheme="minorHAnsi" w:cstheme="minorHAnsi"/>
          <w:sz w:val="22"/>
          <w:szCs w:val="22"/>
          <w:u w:val="single"/>
        </w:rPr>
      </w:pPr>
    </w:p>
    <w:p w14:paraId="7ECC6A69" w14:textId="237FB807" w:rsidR="000602F5" w:rsidRPr="00B5625E" w:rsidRDefault="00E45F51" w:rsidP="00720FD4">
      <w:pPr>
        <w:pStyle w:val="Default"/>
        <w:jc w:val="both"/>
        <w:rPr>
          <w:rFonts w:asciiTheme="minorHAnsi" w:hAnsiTheme="minorHAnsi" w:cstheme="minorHAnsi"/>
          <w:sz w:val="22"/>
          <w:szCs w:val="22"/>
        </w:rPr>
      </w:pPr>
      <w:r>
        <w:rPr>
          <w:rFonts w:asciiTheme="minorHAnsi" w:hAnsiTheme="minorHAnsi" w:cstheme="minorHAnsi"/>
          <w:sz w:val="22"/>
          <w:szCs w:val="22"/>
        </w:rPr>
        <w:t>As with the organisation SQ</w:t>
      </w:r>
      <w:r w:rsidR="00E33D5D" w:rsidRPr="00B5625E">
        <w:rPr>
          <w:rFonts w:asciiTheme="minorHAnsi" w:hAnsiTheme="minorHAnsi" w:cstheme="minorHAnsi"/>
          <w:sz w:val="22"/>
          <w:szCs w:val="22"/>
        </w:rPr>
        <w:t xml:space="preserve">, a declaration must be completed by the person completing the form and the COLP. </w:t>
      </w:r>
    </w:p>
    <w:p w14:paraId="031B3FA0" w14:textId="77777777" w:rsidR="000602F5" w:rsidRDefault="000602F5" w:rsidP="00720FD4">
      <w:pPr>
        <w:pStyle w:val="Default"/>
        <w:jc w:val="both"/>
        <w:rPr>
          <w:rFonts w:asciiTheme="minorHAnsi" w:hAnsiTheme="minorHAnsi"/>
          <w:sz w:val="22"/>
          <w:szCs w:val="22"/>
        </w:rPr>
      </w:pPr>
    </w:p>
    <w:p w14:paraId="47648BCE" w14:textId="77777777" w:rsidR="00D83802" w:rsidRDefault="00D83802" w:rsidP="00720FD4">
      <w:pPr>
        <w:pStyle w:val="Default"/>
        <w:jc w:val="both"/>
        <w:rPr>
          <w:rFonts w:asciiTheme="minorHAnsi" w:hAnsiTheme="minorHAnsi"/>
          <w:sz w:val="22"/>
          <w:szCs w:val="22"/>
        </w:rPr>
      </w:pPr>
    </w:p>
    <w:p w14:paraId="77543DE5" w14:textId="77777777" w:rsidR="00722FA7" w:rsidRDefault="00722FA7" w:rsidP="007629A1">
      <w:pPr>
        <w:spacing w:after="0"/>
        <w:jc w:val="both"/>
      </w:pPr>
    </w:p>
    <w:p w14:paraId="6368C9ED" w14:textId="77777777" w:rsidR="00DF40D9" w:rsidRDefault="00023D22" w:rsidP="00D42027">
      <w:r>
        <w:br w:type="page"/>
      </w:r>
    </w:p>
    <w:p w14:paraId="46177751" w14:textId="77777777" w:rsidR="00152FE7" w:rsidRPr="003C5237" w:rsidRDefault="00152FE7" w:rsidP="00152FE7">
      <w:pPr>
        <w:keepNext/>
        <w:shd w:val="clear" w:color="auto" w:fill="00B4CD"/>
        <w:spacing w:before="240" w:after="60"/>
        <w:jc w:val="center"/>
        <w:outlineLvl w:val="0"/>
        <w:rPr>
          <w:rFonts w:ascii="Cambria" w:hAnsi="Cambria"/>
          <w:b/>
          <w:bCs/>
          <w:color w:val="00B0F0"/>
          <w:kern w:val="32"/>
          <w:sz w:val="6"/>
          <w:szCs w:val="16"/>
        </w:rPr>
      </w:pPr>
      <w:bookmarkStart w:id="1" w:name="_Hlk494121678"/>
    </w:p>
    <w:p w14:paraId="0D493FB0" w14:textId="7D19F174" w:rsidR="00540FB4" w:rsidRDefault="00E43A57" w:rsidP="00DB71A9">
      <w:pPr>
        <w:jc w:val="center"/>
        <w:rPr>
          <w:rFonts w:ascii="Calibri" w:hAnsi="Calibri"/>
          <w:b/>
          <w:sz w:val="28"/>
          <w:szCs w:val="28"/>
        </w:rPr>
      </w:pPr>
      <w:r>
        <w:rPr>
          <w:rFonts w:ascii="Calibri" w:hAnsi="Calibri"/>
          <w:b/>
          <w:sz w:val="28"/>
          <w:szCs w:val="28"/>
        </w:rPr>
        <w:t xml:space="preserve">UNDERSTANDING THE </w:t>
      </w:r>
      <w:bookmarkStart w:id="2" w:name="_GoBack"/>
      <w:bookmarkEnd w:id="2"/>
      <w:r w:rsidR="003E43F6">
        <w:rPr>
          <w:rFonts w:ascii="Calibri" w:hAnsi="Calibri"/>
          <w:b/>
          <w:sz w:val="28"/>
          <w:szCs w:val="28"/>
        </w:rPr>
        <w:t>VERIFICATION REQUIREMENTS</w:t>
      </w:r>
    </w:p>
    <w:bookmarkEnd w:id="1"/>
    <w:p w14:paraId="4E1CED92" w14:textId="77777777" w:rsidR="003F1725" w:rsidRDefault="003F1725" w:rsidP="00722FA7">
      <w:pPr>
        <w:jc w:val="both"/>
        <w:rPr>
          <w:rFonts w:ascii="Calibri" w:hAnsi="Calibri"/>
          <w:szCs w:val="28"/>
        </w:rPr>
      </w:pPr>
    </w:p>
    <w:p w14:paraId="46D2E171" w14:textId="2D2D3F32" w:rsidR="003F1725" w:rsidRPr="003F1725" w:rsidRDefault="003F1725" w:rsidP="003F1725">
      <w:pPr>
        <w:jc w:val="both"/>
        <w:rPr>
          <w:rFonts w:ascii="Calibri" w:hAnsi="Calibri"/>
          <w:szCs w:val="28"/>
        </w:rPr>
      </w:pPr>
      <w:r w:rsidRPr="003F1725">
        <w:rPr>
          <w:rFonts w:ascii="Calibri" w:hAnsi="Calibri"/>
          <w:szCs w:val="28"/>
        </w:rPr>
        <w:t xml:space="preserve">In contrast to previous tenders, the LAA </w:t>
      </w:r>
      <w:r w:rsidRPr="003F1725">
        <w:rPr>
          <w:rFonts w:ascii="Calibri" w:hAnsi="Calibri"/>
          <w:szCs w:val="28"/>
          <w:u w:val="single"/>
        </w:rPr>
        <w:t>do not</w:t>
      </w:r>
      <w:r w:rsidRPr="003F1725">
        <w:rPr>
          <w:rFonts w:ascii="Calibri" w:hAnsi="Calibri"/>
          <w:szCs w:val="28"/>
        </w:rPr>
        <w:t xml:space="preserve"> </w:t>
      </w:r>
      <w:r w:rsidR="00B5625E">
        <w:rPr>
          <w:rFonts w:ascii="Calibri" w:hAnsi="Calibri"/>
          <w:szCs w:val="28"/>
        </w:rPr>
        <w:t>require</w:t>
      </w:r>
      <w:r w:rsidR="00B5625E" w:rsidRPr="003F1725">
        <w:rPr>
          <w:rFonts w:ascii="Calibri" w:hAnsi="Calibri"/>
          <w:szCs w:val="28"/>
        </w:rPr>
        <w:t xml:space="preserve"> </w:t>
      </w:r>
      <w:r w:rsidRPr="003F1725">
        <w:rPr>
          <w:rFonts w:ascii="Calibri" w:hAnsi="Calibri"/>
          <w:szCs w:val="28"/>
        </w:rPr>
        <w:t xml:space="preserve">applicants to submit </w:t>
      </w:r>
      <w:r w:rsidR="00B5625E">
        <w:rPr>
          <w:rFonts w:ascii="Calibri" w:hAnsi="Calibri"/>
          <w:szCs w:val="28"/>
        </w:rPr>
        <w:t xml:space="preserve">any </w:t>
      </w:r>
      <w:r w:rsidRPr="003F1725">
        <w:rPr>
          <w:rFonts w:ascii="Calibri" w:hAnsi="Calibri"/>
          <w:szCs w:val="28"/>
        </w:rPr>
        <w:t xml:space="preserve">verification as part of their Tender. </w:t>
      </w:r>
      <w:r w:rsidR="00B5625E">
        <w:rPr>
          <w:rFonts w:ascii="Calibri" w:hAnsi="Calibri"/>
          <w:szCs w:val="28"/>
        </w:rPr>
        <w:t xml:space="preserve"> </w:t>
      </w:r>
      <w:r w:rsidRPr="003F1725">
        <w:rPr>
          <w:rFonts w:ascii="Calibri" w:hAnsi="Calibri"/>
          <w:szCs w:val="28"/>
        </w:rPr>
        <w:t xml:space="preserve">This may be because the recent crime tender was particularly tortuous when it came to submitting and re-submitting verification. It appears that this time round the LAA are content for providers to wait and submit verification </w:t>
      </w:r>
      <w:r w:rsidR="00B5625E">
        <w:rPr>
          <w:rFonts w:ascii="Calibri" w:hAnsi="Calibri"/>
          <w:szCs w:val="28"/>
        </w:rPr>
        <w:t xml:space="preserve">only </w:t>
      </w:r>
      <w:r w:rsidRPr="003F1725">
        <w:rPr>
          <w:rFonts w:ascii="Calibri" w:hAnsi="Calibri"/>
          <w:szCs w:val="28"/>
        </w:rPr>
        <w:t xml:space="preserve">after a contract offer has been made. </w:t>
      </w:r>
    </w:p>
    <w:p w14:paraId="231F7901" w14:textId="3BDE3F80" w:rsidR="00B5625E" w:rsidRDefault="00B5625E" w:rsidP="003F1725">
      <w:pPr>
        <w:jc w:val="both"/>
        <w:rPr>
          <w:rFonts w:ascii="Calibri" w:hAnsi="Calibri"/>
          <w:szCs w:val="28"/>
        </w:rPr>
      </w:pPr>
      <w:r>
        <w:rPr>
          <w:rFonts w:ascii="Calibri" w:hAnsi="Calibri"/>
          <w:szCs w:val="28"/>
        </w:rPr>
        <w:t>Some bidders may want to send verification documentation to the LAA after they submit the tender (perhaps with a view to ‘be done’ with the tender).  However, w</w:t>
      </w:r>
      <w:r w:rsidR="003F1725" w:rsidRPr="003F1725">
        <w:rPr>
          <w:rFonts w:ascii="Calibri" w:hAnsi="Calibri"/>
          <w:szCs w:val="28"/>
        </w:rPr>
        <w:t>e would strongly recommend waiting and only submit</w:t>
      </w:r>
      <w:r>
        <w:rPr>
          <w:rFonts w:ascii="Calibri" w:hAnsi="Calibri"/>
          <w:szCs w:val="28"/>
        </w:rPr>
        <w:t>ting</w:t>
      </w:r>
      <w:r w:rsidR="003F1725" w:rsidRPr="003F1725">
        <w:rPr>
          <w:rFonts w:ascii="Calibri" w:hAnsi="Calibri"/>
          <w:szCs w:val="28"/>
        </w:rPr>
        <w:t xml:space="preserve"> verification information after a contract award has been made.</w:t>
      </w:r>
      <w:r>
        <w:rPr>
          <w:rFonts w:ascii="Calibri" w:hAnsi="Calibri"/>
          <w:szCs w:val="28"/>
        </w:rPr>
        <w:t xml:space="preserve">  The LAA will doubtless provide additional information about the verification required.</w:t>
      </w:r>
      <w:r w:rsidR="003F1725" w:rsidRPr="003F1725">
        <w:rPr>
          <w:rFonts w:ascii="Calibri" w:hAnsi="Calibri"/>
          <w:szCs w:val="28"/>
        </w:rPr>
        <w:t xml:space="preserve"> </w:t>
      </w:r>
    </w:p>
    <w:p w14:paraId="713ADBB1" w14:textId="4C206F19" w:rsidR="00793F94" w:rsidRDefault="003F1725" w:rsidP="00722FA7">
      <w:pPr>
        <w:jc w:val="both"/>
        <w:rPr>
          <w:rFonts w:ascii="Calibri" w:hAnsi="Calibri"/>
          <w:szCs w:val="28"/>
        </w:rPr>
      </w:pPr>
      <w:r>
        <w:rPr>
          <w:rFonts w:ascii="Calibri" w:hAnsi="Calibri"/>
          <w:szCs w:val="28"/>
        </w:rPr>
        <w:t>Notwithstanding th</w:t>
      </w:r>
      <w:r w:rsidR="00B5625E">
        <w:rPr>
          <w:rFonts w:ascii="Calibri" w:hAnsi="Calibri"/>
          <w:szCs w:val="28"/>
        </w:rPr>
        <w:t>e above, in order for firms to prepare themselves for the next post-offer stage in the tender,</w:t>
      </w:r>
      <w:r w:rsidR="00945D8E">
        <w:rPr>
          <w:rFonts w:ascii="Calibri" w:hAnsi="Calibri"/>
          <w:szCs w:val="28"/>
        </w:rPr>
        <w:t xml:space="preserve"> we offer some guidance about the verification process.</w:t>
      </w:r>
    </w:p>
    <w:p w14:paraId="7A0B162D" w14:textId="77777777" w:rsidR="00DF40D9" w:rsidRPr="00DF40D9" w:rsidRDefault="00DF40D9" w:rsidP="00722FA7">
      <w:pPr>
        <w:jc w:val="both"/>
        <w:rPr>
          <w:rFonts w:ascii="Calibri" w:hAnsi="Calibri"/>
          <w:szCs w:val="28"/>
          <w:u w:val="single"/>
        </w:rPr>
      </w:pPr>
      <w:r w:rsidRPr="00DF40D9">
        <w:rPr>
          <w:rFonts w:ascii="Calibri" w:hAnsi="Calibri"/>
          <w:szCs w:val="28"/>
          <w:u w:val="single"/>
        </w:rPr>
        <w:t>Supervisor Form</w:t>
      </w:r>
      <w:r w:rsidR="00AD6A60">
        <w:rPr>
          <w:rFonts w:ascii="Calibri" w:hAnsi="Calibri"/>
          <w:szCs w:val="28"/>
          <w:u w:val="single"/>
        </w:rPr>
        <w:t>s</w:t>
      </w:r>
    </w:p>
    <w:p w14:paraId="165EA660" w14:textId="77777777" w:rsidR="00793F94" w:rsidRDefault="00793F94" w:rsidP="00722FA7">
      <w:pPr>
        <w:jc w:val="both"/>
        <w:rPr>
          <w:rFonts w:ascii="Calibri" w:hAnsi="Calibri"/>
          <w:szCs w:val="28"/>
        </w:rPr>
      </w:pPr>
      <w:r>
        <w:rPr>
          <w:rFonts w:ascii="Calibri" w:hAnsi="Calibri"/>
          <w:szCs w:val="28"/>
        </w:rPr>
        <w:t>M</w:t>
      </w:r>
      <w:r w:rsidRPr="00793F94">
        <w:rPr>
          <w:rFonts w:ascii="Calibri" w:hAnsi="Calibri"/>
          <w:szCs w:val="28"/>
        </w:rPr>
        <w:t>any practitioners experience</w:t>
      </w:r>
      <w:r w:rsidR="00B5625E">
        <w:rPr>
          <w:rFonts w:ascii="Calibri" w:hAnsi="Calibri"/>
          <w:szCs w:val="28"/>
        </w:rPr>
        <w:t>d</w:t>
      </w:r>
      <w:r w:rsidRPr="00793F94">
        <w:rPr>
          <w:rFonts w:ascii="Calibri" w:hAnsi="Calibri"/>
          <w:szCs w:val="28"/>
        </w:rPr>
        <w:t xml:space="preserve"> difficulties with the LAA rejecting completed supervisor and personal indemnity forms. The supervisor form is the document most commonly rejected</w:t>
      </w:r>
      <w:r w:rsidR="00B5625E">
        <w:rPr>
          <w:rFonts w:ascii="Calibri" w:hAnsi="Calibri"/>
          <w:szCs w:val="28"/>
        </w:rPr>
        <w:t xml:space="preserve"> by the LA</w:t>
      </w:r>
      <w:r w:rsidRPr="00793F94">
        <w:rPr>
          <w:rFonts w:ascii="Calibri" w:hAnsi="Calibri"/>
          <w:szCs w:val="28"/>
        </w:rPr>
        <w:t>.</w:t>
      </w:r>
    </w:p>
    <w:p w14:paraId="48216540" w14:textId="77777777" w:rsidR="00AD6A60" w:rsidRDefault="00AD6A60" w:rsidP="00722FA7">
      <w:pPr>
        <w:jc w:val="both"/>
        <w:rPr>
          <w:rFonts w:ascii="Calibri" w:hAnsi="Calibri"/>
          <w:szCs w:val="28"/>
        </w:rPr>
      </w:pPr>
      <w:r>
        <w:rPr>
          <w:rFonts w:ascii="Calibri" w:hAnsi="Calibri"/>
          <w:szCs w:val="28"/>
        </w:rPr>
        <w:t xml:space="preserve">You can download the forms from </w:t>
      </w:r>
      <w:hyperlink r:id="rId24" w:history="1">
        <w:r w:rsidRPr="00C956A3">
          <w:rPr>
            <w:rStyle w:val="Hyperlink"/>
            <w:rFonts w:ascii="Calibri" w:hAnsi="Calibri"/>
            <w:szCs w:val="28"/>
          </w:rPr>
          <w:t>https://www.gov.uk/government/publications/standard-civil-contract-2018</w:t>
        </w:r>
      </w:hyperlink>
      <w:r>
        <w:rPr>
          <w:rFonts w:ascii="Calibri" w:hAnsi="Calibri"/>
          <w:szCs w:val="28"/>
        </w:rPr>
        <w:t xml:space="preserve"> - scroll down until the middle of this very long page.</w:t>
      </w:r>
    </w:p>
    <w:p w14:paraId="443620D1" w14:textId="1352F6CA" w:rsidR="00DF40D9" w:rsidRDefault="00DF40D9" w:rsidP="00722FA7">
      <w:pPr>
        <w:jc w:val="both"/>
        <w:rPr>
          <w:rFonts w:ascii="Calibri" w:hAnsi="Calibri"/>
          <w:szCs w:val="28"/>
        </w:rPr>
      </w:pPr>
      <w:r>
        <w:rPr>
          <w:rFonts w:ascii="Calibri" w:hAnsi="Calibri"/>
          <w:szCs w:val="28"/>
        </w:rPr>
        <w:t xml:space="preserve">In the first box, you should enter details of the office to be supervised from </w:t>
      </w:r>
      <w:r w:rsidR="007F0543">
        <w:rPr>
          <w:rFonts w:ascii="Calibri" w:hAnsi="Calibri"/>
          <w:szCs w:val="28"/>
        </w:rPr>
        <w:t xml:space="preserve">1 </w:t>
      </w:r>
      <w:r w:rsidR="00793F94">
        <w:rPr>
          <w:rFonts w:ascii="Calibri" w:hAnsi="Calibri"/>
          <w:szCs w:val="28"/>
        </w:rPr>
        <w:t xml:space="preserve">September </w:t>
      </w:r>
      <w:r w:rsidR="007F0543">
        <w:rPr>
          <w:rFonts w:ascii="Calibri" w:hAnsi="Calibri"/>
          <w:szCs w:val="28"/>
        </w:rPr>
        <w:t>201</w:t>
      </w:r>
      <w:r w:rsidR="00B5625E">
        <w:rPr>
          <w:rFonts w:ascii="Calibri" w:hAnsi="Calibri"/>
          <w:szCs w:val="28"/>
        </w:rPr>
        <w:t>8</w:t>
      </w:r>
      <w:r>
        <w:rPr>
          <w:rFonts w:ascii="Calibri" w:hAnsi="Calibri"/>
          <w:szCs w:val="28"/>
        </w:rPr>
        <w:t xml:space="preserve">. </w:t>
      </w:r>
      <w:r w:rsidR="007F0543">
        <w:rPr>
          <w:rFonts w:ascii="Calibri" w:hAnsi="Calibri"/>
          <w:szCs w:val="28"/>
        </w:rPr>
        <w:t xml:space="preserve"> </w:t>
      </w:r>
      <w:r>
        <w:rPr>
          <w:rFonts w:ascii="Calibri" w:hAnsi="Calibri"/>
          <w:szCs w:val="28"/>
        </w:rPr>
        <w:t>Only include the postcode if it is a new office without an</w:t>
      </w:r>
      <w:r w:rsidR="007F0543">
        <w:rPr>
          <w:rFonts w:ascii="Calibri" w:hAnsi="Calibri"/>
          <w:szCs w:val="28"/>
        </w:rPr>
        <w:t xml:space="preserve"> LAA</w:t>
      </w:r>
      <w:r>
        <w:rPr>
          <w:rFonts w:ascii="Calibri" w:hAnsi="Calibri"/>
          <w:szCs w:val="28"/>
        </w:rPr>
        <w:t xml:space="preserve"> account number.</w:t>
      </w:r>
    </w:p>
    <w:p w14:paraId="6B95C039" w14:textId="77777777" w:rsidR="00166B6D" w:rsidRDefault="00DF40D9" w:rsidP="00722FA7">
      <w:pPr>
        <w:jc w:val="both"/>
        <w:rPr>
          <w:rFonts w:ascii="Calibri" w:hAnsi="Calibri"/>
          <w:szCs w:val="28"/>
        </w:rPr>
      </w:pPr>
      <w:r>
        <w:rPr>
          <w:rFonts w:ascii="Calibri" w:hAnsi="Calibri"/>
          <w:szCs w:val="28"/>
        </w:rPr>
        <w:t>The second box covers the generic supervision requirements. Either you must be able to demonstrate that you have supervised full time at least one caseworker</w:t>
      </w:r>
      <w:r w:rsidR="00166B6D">
        <w:rPr>
          <w:rFonts w:ascii="Calibri" w:hAnsi="Calibri"/>
          <w:szCs w:val="28"/>
        </w:rPr>
        <w:t xml:space="preserve"> for at least one year</w:t>
      </w:r>
      <w:r>
        <w:rPr>
          <w:rFonts w:ascii="Calibri" w:hAnsi="Calibri"/>
          <w:szCs w:val="28"/>
        </w:rPr>
        <w:t xml:space="preserve"> in the preceding five years or you must complete an approved supervisor course. </w:t>
      </w:r>
    </w:p>
    <w:p w14:paraId="6AC18A9A" w14:textId="70D25BA7" w:rsidR="00166B6D" w:rsidRDefault="00DF40D9" w:rsidP="00722FA7">
      <w:pPr>
        <w:jc w:val="both"/>
        <w:rPr>
          <w:rFonts w:ascii="Calibri" w:hAnsi="Calibri"/>
          <w:szCs w:val="28"/>
        </w:rPr>
      </w:pPr>
      <w:r>
        <w:rPr>
          <w:noProof/>
          <w:lang w:eastAsia="en-GB"/>
        </w:rPr>
        <w:drawing>
          <wp:inline distT="0" distB="0" distL="0" distR="0" wp14:anchorId="5684C9EC" wp14:editId="3F433D19">
            <wp:extent cx="547456" cy="564763"/>
            <wp:effectExtent l="0" t="0" r="5080" b="6985"/>
            <wp:docPr id="286" name="Picture 28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3943" cy="571455"/>
                    </a:xfrm>
                    <a:prstGeom prst="rect">
                      <a:avLst/>
                    </a:prstGeom>
                    <a:noFill/>
                    <a:ln>
                      <a:noFill/>
                    </a:ln>
                  </pic:spPr>
                </pic:pic>
              </a:graphicData>
            </a:graphic>
          </wp:inline>
        </w:drawing>
      </w:r>
      <w:r w:rsidR="00F25AAF">
        <w:rPr>
          <w:rFonts w:ascii="Calibri" w:hAnsi="Calibri"/>
          <w:szCs w:val="28"/>
        </w:rPr>
        <w:t>Note that there is no</w:t>
      </w:r>
      <w:r>
        <w:rPr>
          <w:rFonts w:ascii="Calibri" w:hAnsi="Calibri"/>
          <w:szCs w:val="28"/>
        </w:rPr>
        <w:t xml:space="preserve"> such route as a NVQ in supervising so please do not t</w:t>
      </w:r>
      <w:r w:rsidR="00166B6D">
        <w:rPr>
          <w:rFonts w:ascii="Calibri" w:hAnsi="Calibri"/>
          <w:szCs w:val="28"/>
        </w:rPr>
        <w:t>ick that box!</w:t>
      </w:r>
    </w:p>
    <w:p w14:paraId="1DEF1748" w14:textId="77777777" w:rsidR="00DF40D9" w:rsidRDefault="00DF40D9" w:rsidP="00722FA7">
      <w:pPr>
        <w:jc w:val="both"/>
        <w:rPr>
          <w:rFonts w:ascii="Calibri" w:hAnsi="Calibri"/>
          <w:szCs w:val="28"/>
        </w:rPr>
      </w:pPr>
      <w:r>
        <w:rPr>
          <w:rFonts w:ascii="Calibri" w:hAnsi="Calibri"/>
          <w:szCs w:val="28"/>
        </w:rPr>
        <w:t xml:space="preserve">The third section covers the legal competence standard. </w:t>
      </w:r>
      <w:r w:rsidR="00793F94">
        <w:rPr>
          <w:rFonts w:ascii="Calibri" w:hAnsi="Calibri"/>
          <w:szCs w:val="28"/>
        </w:rPr>
        <w:t>Depending upon the category of law, you’ll either need to provide accreditation details, a portfolio of cases or a mixture of both.</w:t>
      </w:r>
    </w:p>
    <w:p w14:paraId="785CD6C1" w14:textId="77777777" w:rsidR="00AD4F46" w:rsidRDefault="00AD4F46" w:rsidP="00722FA7">
      <w:pPr>
        <w:jc w:val="both"/>
        <w:rPr>
          <w:rFonts w:ascii="Calibri" w:hAnsi="Calibri"/>
          <w:szCs w:val="28"/>
        </w:rPr>
      </w:pPr>
      <w:r>
        <w:rPr>
          <w:rFonts w:ascii="Calibri" w:hAnsi="Calibri"/>
          <w:szCs w:val="28"/>
        </w:rPr>
        <w:t>In section 4, the bulk of your casework involvement hours will be comprised of personal casework. If you have been doing file reviews, ensure that you remember to complete that box (it’s helpful to demonstrate that file reviews are happening!</w:t>
      </w:r>
      <w:r w:rsidR="00B5625E">
        <w:rPr>
          <w:rFonts w:ascii="Calibri" w:hAnsi="Calibri"/>
          <w:szCs w:val="28"/>
        </w:rPr>
        <w:t>)</w:t>
      </w:r>
      <w:r>
        <w:rPr>
          <w:rFonts w:ascii="Calibri" w:hAnsi="Calibri"/>
          <w:szCs w:val="28"/>
        </w:rPr>
        <w:t xml:space="preserve"> </w:t>
      </w:r>
    </w:p>
    <w:p w14:paraId="1CA7B3C2" w14:textId="77777777" w:rsidR="00CF5449" w:rsidRDefault="004D000C" w:rsidP="00722FA7">
      <w:pPr>
        <w:jc w:val="both"/>
        <w:rPr>
          <w:rFonts w:ascii="Calibri" w:hAnsi="Calibri"/>
          <w:szCs w:val="28"/>
        </w:rPr>
      </w:pPr>
      <w:r>
        <w:rPr>
          <w:rFonts w:ascii="Calibri" w:hAnsi="Calibri"/>
          <w:szCs w:val="28"/>
        </w:rPr>
        <w:t xml:space="preserve">There is no need to physically sign the declaration. A tick of a box </w:t>
      </w:r>
      <w:r w:rsidR="002F6DEC">
        <w:rPr>
          <w:rFonts w:ascii="Calibri" w:hAnsi="Calibri"/>
          <w:szCs w:val="28"/>
        </w:rPr>
        <w:t xml:space="preserve">and a declaration is sufficient but you should include the name </w:t>
      </w:r>
      <w:r w:rsidR="00894E9D" w:rsidRPr="00894E9D">
        <w:rPr>
          <w:rFonts w:ascii="Calibri" w:hAnsi="Calibri"/>
          <w:szCs w:val="28"/>
          <w:u w:val="single"/>
        </w:rPr>
        <w:t>and</w:t>
      </w:r>
      <w:r w:rsidR="00894E9D">
        <w:rPr>
          <w:rFonts w:ascii="Calibri" w:hAnsi="Calibri"/>
          <w:szCs w:val="28"/>
        </w:rPr>
        <w:t xml:space="preserve"> </w:t>
      </w:r>
      <w:r w:rsidR="002F6DEC" w:rsidRPr="00894E9D">
        <w:rPr>
          <w:rFonts w:ascii="Calibri" w:hAnsi="Calibri"/>
          <w:szCs w:val="28"/>
        </w:rPr>
        <w:t>role</w:t>
      </w:r>
      <w:r w:rsidR="002F6DEC">
        <w:rPr>
          <w:rFonts w:ascii="Calibri" w:hAnsi="Calibri"/>
          <w:szCs w:val="28"/>
        </w:rPr>
        <w:t xml:space="preserve"> of the person making the declaration</w:t>
      </w:r>
      <w:r w:rsidR="00894E9D">
        <w:rPr>
          <w:rFonts w:ascii="Calibri" w:hAnsi="Calibri"/>
          <w:szCs w:val="28"/>
        </w:rPr>
        <w:t>.  The declaration can the same person completing the form so long as that person is also</w:t>
      </w:r>
      <w:r w:rsidR="00AD4F46">
        <w:rPr>
          <w:rFonts w:ascii="Calibri" w:hAnsi="Calibri"/>
          <w:szCs w:val="28"/>
        </w:rPr>
        <w:t xml:space="preserve"> a member of your key personnel. For the first time, the COLP also has to </w:t>
      </w:r>
      <w:r w:rsidR="00B5625E">
        <w:rPr>
          <w:rFonts w:ascii="Calibri" w:hAnsi="Calibri"/>
          <w:szCs w:val="28"/>
        </w:rPr>
        <w:t>‘</w:t>
      </w:r>
      <w:r w:rsidR="00AD4F46">
        <w:rPr>
          <w:rFonts w:ascii="Calibri" w:hAnsi="Calibri"/>
          <w:szCs w:val="28"/>
        </w:rPr>
        <w:t>sign</w:t>
      </w:r>
      <w:r w:rsidR="00B5625E">
        <w:rPr>
          <w:rFonts w:ascii="Calibri" w:hAnsi="Calibri"/>
          <w:szCs w:val="28"/>
        </w:rPr>
        <w:t>’</w:t>
      </w:r>
      <w:r w:rsidR="00AD4F46">
        <w:rPr>
          <w:rFonts w:ascii="Calibri" w:hAnsi="Calibri"/>
          <w:szCs w:val="28"/>
        </w:rPr>
        <w:t xml:space="preserve"> the form for same reason set out earlier i.e. to increase accountability should </w:t>
      </w:r>
      <w:r w:rsidR="002503DF">
        <w:rPr>
          <w:rFonts w:ascii="Calibri" w:hAnsi="Calibri"/>
          <w:szCs w:val="28"/>
        </w:rPr>
        <w:t xml:space="preserve">some of </w:t>
      </w:r>
      <w:r w:rsidR="00AD4F46">
        <w:rPr>
          <w:rFonts w:ascii="Calibri" w:hAnsi="Calibri"/>
          <w:szCs w:val="28"/>
        </w:rPr>
        <w:t xml:space="preserve">the </w:t>
      </w:r>
      <w:r w:rsidR="002503DF">
        <w:rPr>
          <w:rFonts w:ascii="Calibri" w:hAnsi="Calibri"/>
          <w:szCs w:val="28"/>
        </w:rPr>
        <w:t>content be inaccurate.</w:t>
      </w:r>
    </w:p>
    <w:p w14:paraId="68A7E6E0" w14:textId="77777777" w:rsidR="002503DF" w:rsidRDefault="00CF5449" w:rsidP="00722FA7">
      <w:pPr>
        <w:jc w:val="both"/>
        <w:rPr>
          <w:rFonts w:ascii="Calibri" w:hAnsi="Calibri"/>
          <w:szCs w:val="28"/>
        </w:rPr>
      </w:pPr>
      <w:r>
        <w:rPr>
          <w:noProof/>
          <w:lang w:eastAsia="en-GB"/>
        </w:rPr>
        <w:lastRenderedPageBreak/>
        <w:drawing>
          <wp:inline distT="0" distB="0" distL="0" distR="0" wp14:anchorId="118BC42C" wp14:editId="39F18887">
            <wp:extent cx="433065" cy="484118"/>
            <wp:effectExtent l="0" t="0" r="5715" b="0"/>
            <wp:docPr id="17" name="Picture 17" descr="Image result for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149" cy="499863"/>
                    </a:xfrm>
                    <a:prstGeom prst="rect">
                      <a:avLst/>
                    </a:prstGeom>
                    <a:noFill/>
                    <a:ln>
                      <a:noFill/>
                    </a:ln>
                  </pic:spPr>
                </pic:pic>
              </a:graphicData>
            </a:graphic>
          </wp:inline>
        </w:drawing>
      </w:r>
      <w:r>
        <w:rPr>
          <w:rFonts w:ascii="Calibri" w:hAnsi="Calibri"/>
          <w:szCs w:val="28"/>
        </w:rPr>
        <w:t xml:space="preserve"> </w:t>
      </w:r>
      <w:r w:rsidR="002503DF">
        <w:rPr>
          <w:rFonts w:ascii="Calibri" w:hAnsi="Calibri"/>
          <w:szCs w:val="28"/>
        </w:rPr>
        <w:t xml:space="preserve">For the first time there is no </w:t>
      </w:r>
      <w:r w:rsidR="009C051A" w:rsidRPr="009C051A">
        <w:rPr>
          <w:rFonts w:ascii="Calibri" w:hAnsi="Calibri"/>
          <w:szCs w:val="28"/>
        </w:rPr>
        <w:t xml:space="preserve">ability to upload </w:t>
      </w:r>
      <w:r w:rsidR="002503DF">
        <w:rPr>
          <w:rFonts w:ascii="Calibri" w:hAnsi="Calibri"/>
          <w:szCs w:val="28"/>
        </w:rPr>
        <w:t xml:space="preserve">supervisor forms </w:t>
      </w:r>
      <w:r w:rsidR="009C051A" w:rsidRPr="009C051A">
        <w:rPr>
          <w:rFonts w:ascii="Calibri" w:hAnsi="Calibri"/>
          <w:szCs w:val="28"/>
        </w:rPr>
        <w:t xml:space="preserve">to the </w:t>
      </w:r>
      <w:r w:rsidR="002503DF">
        <w:rPr>
          <w:rFonts w:ascii="Calibri" w:hAnsi="Calibri"/>
          <w:szCs w:val="28"/>
        </w:rPr>
        <w:t>ITT</w:t>
      </w:r>
      <w:r w:rsidR="009C051A">
        <w:rPr>
          <w:rFonts w:ascii="Calibri" w:hAnsi="Calibri"/>
          <w:szCs w:val="28"/>
        </w:rPr>
        <w:t xml:space="preserve">.  </w:t>
      </w:r>
      <w:r w:rsidR="002503DF">
        <w:rPr>
          <w:rFonts w:ascii="Calibri" w:hAnsi="Calibri"/>
          <w:szCs w:val="28"/>
        </w:rPr>
        <w:t xml:space="preserve">When you </w:t>
      </w:r>
      <w:r w:rsidR="009C051A">
        <w:rPr>
          <w:rFonts w:ascii="Calibri" w:hAnsi="Calibri"/>
          <w:szCs w:val="28"/>
        </w:rPr>
        <w:t xml:space="preserve">wish to </w:t>
      </w:r>
      <w:r w:rsidR="002503DF">
        <w:rPr>
          <w:rFonts w:ascii="Calibri" w:hAnsi="Calibri"/>
          <w:szCs w:val="28"/>
        </w:rPr>
        <w:t xml:space="preserve">submit supervisor forms you should do so after the offer of a contract has been made. This will probably be done via the Bravo messaging system but </w:t>
      </w:r>
      <w:r w:rsidR="00B5625E">
        <w:rPr>
          <w:rFonts w:ascii="Calibri" w:hAnsi="Calibri"/>
          <w:szCs w:val="28"/>
        </w:rPr>
        <w:t xml:space="preserve">this </w:t>
      </w:r>
      <w:r w:rsidR="002503DF">
        <w:rPr>
          <w:rFonts w:ascii="Calibri" w:hAnsi="Calibri"/>
          <w:szCs w:val="28"/>
        </w:rPr>
        <w:t>is yet to be confirmed by the LAA.</w:t>
      </w:r>
    </w:p>
    <w:p w14:paraId="1D1BBAA0" w14:textId="5112FF51" w:rsidR="00CF5449" w:rsidRPr="009C051A" w:rsidRDefault="002503DF" w:rsidP="00722FA7">
      <w:pPr>
        <w:jc w:val="both"/>
        <w:rPr>
          <w:rFonts w:ascii="Calibri" w:hAnsi="Calibri"/>
          <w:szCs w:val="28"/>
        </w:rPr>
      </w:pPr>
      <w:r>
        <w:rPr>
          <w:rFonts w:ascii="Calibri" w:hAnsi="Calibri"/>
          <w:szCs w:val="28"/>
        </w:rPr>
        <w:t xml:space="preserve">If you are sending </w:t>
      </w:r>
      <w:r w:rsidR="009C051A">
        <w:rPr>
          <w:rFonts w:ascii="Calibri" w:hAnsi="Calibri"/>
          <w:szCs w:val="28"/>
        </w:rPr>
        <w:t>more than one supervisor form (e.g. one for each</w:t>
      </w:r>
      <w:r w:rsidR="00CF5449">
        <w:rPr>
          <w:rFonts w:ascii="Calibri" w:hAnsi="Calibri"/>
          <w:szCs w:val="28"/>
        </w:rPr>
        <w:t xml:space="preserve"> of your</w:t>
      </w:r>
      <w:r w:rsidR="009C051A">
        <w:rPr>
          <w:rFonts w:ascii="Calibri" w:hAnsi="Calibri"/>
          <w:szCs w:val="28"/>
        </w:rPr>
        <w:t xml:space="preserve"> office</w:t>
      </w:r>
      <w:r w:rsidR="00CF5449">
        <w:rPr>
          <w:rFonts w:ascii="Calibri" w:hAnsi="Calibri"/>
          <w:szCs w:val="28"/>
        </w:rPr>
        <w:t>s</w:t>
      </w:r>
      <w:r w:rsidR="009C051A">
        <w:rPr>
          <w:rFonts w:ascii="Calibri" w:hAnsi="Calibri"/>
          <w:szCs w:val="28"/>
        </w:rPr>
        <w:t xml:space="preserve">), you </w:t>
      </w:r>
      <w:r>
        <w:rPr>
          <w:rFonts w:ascii="Calibri" w:hAnsi="Calibri"/>
          <w:szCs w:val="28"/>
        </w:rPr>
        <w:t xml:space="preserve">may </w:t>
      </w:r>
      <w:r w:rsidR="009C051A">
        <w:rPr>
          <w:rFonts w:ascii="Calibri" w:hAnsi="Calibri"/>
          <w:szCs w:val="28"/>
        </w:rPr>
        <w:t xml:space="preserve">need to collate the forms into a single document.  This can be achieved by scanning documents into a single PDF or using </w:t>
      </w:r>
      <w:r w:rsidR="00CF5449">
        <w:rPr>
          <w:rFonts w:ascii="Calibri" w:hAnsi="Calibri"/>
          <w:szCs w:val="28"/>
        </w:rPr>
        <w:t>a PDF combining tool (e.g. that offered by Adobe Pro).</w:t>
      </w:r>
    </w:p>
    <w:p w14:paraId="4BD34286" w14:textId="77777777" w:rsidR="004D000C" w:rsidRPr="004D000C" w:rsidRDefault="004D000C" w:rsidP="00722FA7">
      <w:pPr>
        <w:jc w:val="both"/>
        <w:rPr>
          <w:rFonts w:ascii="Calibri" w:hAnsi="Calibri"/>
          <w:szCs w:val="28"/>
          <w:u w:val="single"/>
        </w:rPr>
      </w:pPr>
      <w:r w:rsidRPr="004D000C">
        <w:rPr>
          <w:rFonts w:ascii="Calibri" w:hAnsi="Calibri"/>
          <w:szCs w:val="28"/>
          <w:u w:val="single"/>
        </w:rPr>
        <w:t>Indemnity Form</w:t>
      </w:r>
    </w:p>
    <w:p w14:paraId="02ABE394" w14:textId="77777777" w:rsidR="00AD6A60" w:rsidRDefault="00AD6A60" w:rsidP="00AD6A60">
      <w:pPr>
        <w:rPr>
          <w:rFonts w:ascii="Calibri" w:hAnsi="Calibri"/>
          <w:szCs w:val="28"/>
        </w:rPr>
      </w:pPr>
      <w:r>
        <w:rPr>
          <w:rFonts w:ascii="Calibri" w:hAnsi="Calibri"/>
          <w:szCs w:val="28"/>
        </w:rPr>
        <w:t xml:space="preserve">The indemnity forms may be downloaded from: </w:t>
      </w:r>
      <w:hyperlink r:id="rId25" w:history="1">
        <w:r w:rsidRPr="00C956A3">
          <w:rPr>
            <w:rStyle w:val="Hyperlink"/>
            <w:rFonts w:ascii="Calibri" w:hAnsi="Calibri"/>
            <w:szCs w:val="28"/>
          </w:rPr>
          <w:t>https://www.gov.uk/government/publications/personal-guarantee-and-indemnity</w:t>
        </w:r>
      </w:hyperlink>
    </w:p>
    <w:p w14:paraId="7F8C0184" w14:textId="4B4267B4" w:rsidR="00B5625E" w:rsidRDefault="000D3848" w:rsidP="00722FA7">
      <w:pPr>
        <w:jc w:val="both"/>
        <w:rPr>
          <w:rFonts w:ascii="Calibri" w:hAnsi="Calibri"/>
          <w:szCs w:val="28"/>
        </w:rPr>
      </w:pPr>
      <w:r>
        <w:rPr>
          <w:rFonts w:ascii="Calibri" w:hAnsi="Calibri"/>
          <w:szCs w:val="28"/>
        </w:rPr>
        <w:t>Ensure that the name of the provider is included on page 1 and that section 11 is fully completed.</w:t>
      </w:r>
    </w:p>
    <w:p w14:paraId="1255984D" w14:textId="77777777" w:rsidR="000D3848" w:rsidRDefault="000D3848" w:rsidP="00722FA7">
      <w:pPr>
        <w:jc w:val="both"/>
        <w:rPr>
          <w:rFonts w:ascii="Calibri" w:hAnsi="Calibri"/>
          <w:szCs w:val="28"/>
        </w:rPr>
      </w:pPr>
    </w:p>
    <w:p w14:paraId="78C0809C" w14:textId="77777777" w:rsidR="000D3848" w:rsidRPr="000D3848" w:rsidRDefault="000D3848" w:rsidP="00722FA7">
      <w:pPr>
        <w:jc w:val="both"/>
        <w:rPr>
          <w:rFonts w:ascii="Calibri" w:hAnsi="Calibri"/>
          <w:szCs w:val="28"/>
          <w:u w:val="single"/>
        </w:rPr>
      </w:pPr>
      <w:r w:rsidRPr="000D3848">
        <w:rPr>
          <w:rFonts w:ascii="Calibri" w:hAnsi="Calibri"/>
          <w:szCs w:val="28"/>
          <w:u w:val="single"/>
        </w:rPr>
        <w:t>SQM / Lexcel Certificate</w:t>
      </w:r>
    </w:p>
    <w:p w14:paraId="0C12DB2F" w14:textId="77777777" w:rsidR="000D3848" w:rsidRDefault="004B5AD5" w:rsidP="00722FA7">
      <w:pPr>
        <w:jc w:val="both"/>
        <w:rPr>
          <w:rFonts w:ascii="Calibri" w:hAnsi="Calibri"/>
          <w:szCs w:val="28"/>
        </w:rPr>
      </w:pPr>
      <w:r>
        <w:rPr>
          <w:rFonts w:ascii="Calibri" w:hAnsi="Calibri"/>
          <w:szCs w:val="28"/>
        </w:rPr>
        <w:t>When you are asked for it, c</w:t>
      </w:r>
      <w:r w:rsidR="000D3848">
        <w:rPr>
          <w:rFonts w:ascii="Calibri" w:hAnsi="Calibri"/>
          <w:szCs w:val="28"/>
        </w:rPr>
        <w:t xml:space="preserve">heck that you are </w:t>
      </w:r>
      <w:r w:rsidR="005F3AF4">
        <w:rPr>
          <w:rFonts w:ascii="Calibri" w:hAnsi="Calibri"/>
          <w:szCs w:val="28"/>
        </w:rPr>
        <w:t xml:space="preserve">sending </w:t>
      </w:r>
      <w:r w:rsidR="000D3848">
        <w:rPr>
          <w:rFonts w:ascii="Calibri" w:hAnsi="Calibri"/>
          <w:szCs w:val="28"/>
        </w:rPr>
        <w:t>the most up to date certificate.</w:t>
      </w:r>
      <w:r w:rsidR="00894E9D">
        <w:rPr>
          <w:rFonts w:ascii="Calibri" w:hAnsi="Calibri"/>
          <w:szCs w:val="28"/>
        </w:rPr>
        <w:t xml:space="preserve"> </w:t>
      </w:r>
      <w:r w:rsidR="000D3848">
        <w:rPr>
          <w:rFonts w:ascii="Calibri" w:hAnsi="Calibri"/>
          <w:szCs w:val="28"/>
        </w:rPr>
        <w:t xml:space="preserve"> It must be in force until at least </w:t>
      </w:r>
      <w:r w:rsidR="000D3848" w:rsidRPr="007629A1">
        <w:rPr>
          <w:rFonts w:ascii="Calibri" w:hAnsi="Calibri"/>
          <w:szCs w:val="28"/>
          <w:u w:val="single"/>
        </w:rPr>
        <w:t xml:space="preserve">1 </w:t>
      </w:r>
      <w:r w:rsidR="005F3AF4" w:rsidRPr="007629A1">
        <w:rPr>
          <w:rFonts w:ascii="Calibri" w:hAnsi="Calibri"/>
          <w:szCs w:val="28"/>
          <w:u w:val="single"/>
        </w:rPr>
        <w:t>September 2018</w:t>
      </w:r>
      <w:r w:rsidR="000D3848">
        <w:rPr>
          <w:rFonts w:ascii="Calibri" w:hAnsi="Calibri"/>
          <w:szCs w:val="28"/>
        </w:rPr>
        <w:t xml:space="preserve">. </w:t>
      </w:r>
      <w:r w:rsidR="005F3AF4" w:rsidRPr="005F3AF4">
        <w:rPr>
          <w:rFonts w:ascii="Calibri" w:hAnsi="Calibri"/>
          <w:szCs w:val="28"/>
        </w:rPr>
        <w:t xml:space="preserve">The deadline to submit the certificate is </w:t>
      </w:r>
      <w:r w:rsidR="005F3AF4" w:rsidRPr="007629A1">
        <w:rPr>
          <w:rFonts w:ascii="Calibri" w:hAnsi="Calibri"/>
          <w:szCs w:val="28"/>
          <w:u w:val="single"/>
        </w:rPr>
        <w:t>20 July 2018</w:t>
      </w:r>
      <w:r w:rsidR="005F3AF4" w:rsidRPr="005F3AF4">
        <w:rPr>
          <w:rFonts w:ascii="Calibri" w:hAnsi="Calibri"/>
          <w:szCs w:val="28"/>
        </w:rPr>
        <w:t>.</w:t>
      </w:r>
    </w:p>
    <w:p w14:paraId="4A6F4CF3" w14:textId="5BE06B87" w:rsidR="005F3AF4" w:rsidRPr="005F3AF4" w:rsidRDefault="005F3AF4" w:rsidP="005F3AF4">
      <w:pPr>
        <w:jc w:val="both"/>
        <w:rPr>
          <w:rFonts w:ascii="Calibri" w:hAnsi="Calibri"/>
          <w:szCs w:val="28"/>
        </w:rPr>
      </w:pPr>
      <w:r>
        <w:rPr>
          <w:noProof/>
          <w:lang w:eastAsia="en-GB"/>
        </w:rPr>
        <w:drawing>
          <wp:inline distT="0" distB="0" distL="0" distR="0" wp14:anchorId="020F73E5" wp14:editId="25DDCB4B">
            <wp:extent cx="547456" cy="564763"/>
            <wp:effectExtent l="0" t="0" r="5080" b="6985"/>
            <wp:docPr id="28" name="Picture 2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3943" cy="571455"/>
                    </a:xfrm>
                    <a:prstGeom prst="rect">
                      <a:avLst/>
                    </a:prstGeom>
                    <a:noFill/>
                    <a:ln>
                      <a:noFill/>
                    </a:ln>
                  </pic:spPr>
                </pic:pic>
              </a:graphicData>
            </a:graphic>
          </wp:inline>
        </w:drawing>
      </w:r>
      <w:r>
        <w:rPr>
          <w:rFonts w:ascii="Calibri" w:hAnsi="Calibri"/>
          <w:szCs w:val="28"/>
        </w:rPr>
        <w:t xml:space="preserve"> </w:t>
      </w:r>
      <w:r w:rsidR="00B5625E">
        <w:rPr>
          <w:rFonts w:ascii="Calibri" w:hAnsi="Calibri"/>
          <w:szCs w:val="28"/>
        </w:rPr>
        <w:t>We have therefore highlighted</w:t>
      </w:r>
      <w:r>
        <w:rPr>
          <w:rFonts w:ascii="Calibri" w:hAnsi="Calibri"/>
          <w:szCs w:val="28"/>
        </w:rPr>
        <w:t xml:space="preserve"> a problem here for providers whose </w:t>
      </w:r>
      <w:r w:rsidR="004E5984">
        <w:rPr>
          <w:rFonts w:ascii="Calibri" w:hAnsi="Calibri"/>
          <w:szCs w:val="28"/>
        </w:rPr>
        <w:t xml:space="preserve">certificate expires between the period 20 July to 1 September 2018. Firms in this position whose audit would normally be scheduled to take place </w:t>
      </w:r>
      <w:r w:rsidRPr="005F3AF4">
        <w:rPr>
          <w:rFonts w:ascii="Calibri" w:hAnsi="Calibri"/>
          <w:szCs w:val="28"/>
        </w:rPr>
        <w:t>between July and September 2018 may need to bring forward the date of their audit</w:t>
      </w:r>
      <w:r>
        <w:rPr>
          <w:rFonts w:ascii="Calibri" w:hAnsi="Calibri"/>
          <w:szCs w:val="28"/>
        </w:rPr>
        <w:t>.</w:t>
      </w:r>
      <w:r w:rsidR="004E5984">
        <w:rPr>
          <w:rFonts w:ascii="Calibri" w:hAnsi="Calibri"/>
          <w:szCs w:val="28"/>
        </w:rPr>
        <w:t xml:space="preserve"> </w:t>
      </w:r>
    </w:p>
    <w:p w14:paraId="2AE7ECEE" w14:textId="5C87FA52" w:rsidR="00132BA0" w:rsidRDefault="00132BA0" w:rsidP="00722FA7">
      <w:pPr>
        <w:jc w:val="both"/>
        <w:rPr>
          <w:rFonts w:ascii="Calibri" w:hAnsi="Calibri"/>
          <w:szCs w:val="28"/>
        </w:rPr>
      </w:pPr>
    </w:p>
    <w:p w14:paraId="679B03F0" w14:textId="19F67913" w:rsidR="00A3313A" w:rsidRPr="00A3313A" w:rsidRDefault="00A3313A" w:rsidP="00722FA7">
      <w:pPr>
        <w:jc w:val="both"/>
        <w:rPr>
          <w:rFonts w:ascii="Calibri" w:hAnsi="Calibri"/>
          <w:szCs w:val="28"/>
          <w:u w:val="single"/>
        </w:rPr>
      </w:pPr>
      <w:r w:rsidRPr="00A3313A">
        <w:rPr>
          <w:rFonts w:ascii="Calibri" w:hAnsi="Calibri"/>
          <w:szCs w:val="28"/>
          <w:u w:val="single"/>
        </w:rPr>
        <w:t>Other Verification</w:t>
      </w:r>
    </w:p>
    <w:p w14:paraId="1F8F7DA2" w14:textId="5124F72B" w:rsidR="00A3313A" w:rsidRDefault="00A00CE2" w:rsidP="00722FA7">
      <w:pPr>
        <w:jc w:val="both"/>
        <w:rPr>
          <w:rFonts w:ascii="Calibri" w:hAnsi="Calibri"/>
          <w:szCs w:val="28"/>
        </w:rPr>
      </w:pPr>
      <w:r>
        <w:rPr>
          <w:rFonts w:ascii="Calibri" w:hAnsi="Calibri"/>
          <w:szCs w:val="28"/>
        </w:rPr>
        <w:t>The IFA explains that a Contract Management visit shall take place at each office within six months of the start of the contract to verify compliance with the 1:4 supervisor to caseworker ratio. Presumably, this visit will look at other areas too including whether the office meets presence requirements as specified by the contract.</w:t>
      </w:r>
    </w:p>
    <w:p w14:paraId="1E793A75" w14:textId="77777777" w:rsidR="00894E9D" w:rsidRDefault="00894E9D" w:rsidP="00722FA7">
      <w:pPr>
        <w:jc w:val="both"/>
        <w:rPr>
          <w:rFonts w:ascii="Calibri" w:hAnsi="Calibri"/>
          <w:szCs w:val="28"/>
        </w:rPr>
      </w:pPr>
    </w:p>
    <w:p w14:paraId="2BC465BC" w14:textId="77777777" w:rsidR="00894E9D" w:rsidRDefault="00894E9D" w:rsidP="00894E9D">
      <w:pPr>
        <w:pStyle w:val="ListParagraph"/>
      </w:pPr>
    </w:p>
    <w:p w14:paraId="287F9EDC" w14:textId="77777777" w:rsidR="00132BA0" w:rsidRPr="004D000C" w:rsidRDefault="00132BA0" w:rsidP="00722FA7">
      <w:pPr>
        <w:jc w:val="both"/>
        <w:rPr>
          <w:rFonts w:ascii="Calibri" w:hAnsi="Calibri"/>
          <w:szCs w:val="28"/>
        </w:rPr>
      </w:pPr>
    </w:p>
    <w:p w14:paraId="42FE354A" w14:textId="77777777" w:rsidR="00DB71A9" w:rsidRDefault="00DB71A9" w:rsidP="00722FA7">
      <w:pPr>
        <w:jc w:val="both"/>
        <w:rPr>
          <w:rFonts w:ascii="Calibri" w:hAnsi="Calibri"/>
          <w:b/>
          <w:sz w:val="28"/>
          <w:szCs w:val="28"/>
        </w:rPr>
      </w:pPr>
    </w:p>
    <w:p w14:paraId="5102A596" w14:textId="642C33C2" w:rsidR="003E4263" w:rsidRPr="003C5237" w:rsidRDefault="00B5625E" w:rsidP="005F3AF4">
      <w:pPr>
        <w:rPr>
          <w:rFonts w:ascii="Cambria" w:hAnsi="Cambria"/>
          <w:b/>
          <w:bCs/>
          <w:color w:val="00B0F0"/>
          <w:kern w:val="32"/>
          <w:sz w:val="6"/>
          <w:szCs w:val="16"/>
        </w:rPr>
      </w:pPr>
      <w:r>
        <w:rPr>
          <w:rFonts w:ascii="Cambria" w:hAnsi="Cambria"/>
          <w:b/>
          <w:bCs/>
          <w:color w:val="00B0F0"/>
          <w:kern w:val="32"/>
          <w:sz w:val="6"/>
          <w:szCs w:val="16"/>
        </w:rPr>
        <w:br w:type="page"/>
      </w:r>
    </w:p>
    <w:p w14:paraId="6D9753B7" w14:textId="77777777" w:rsidR="003E43F6" w:rsidRPr="003C5237" w:rsidRDefault="003E43F6" w:rsidP="003E43F6">
      <w:pPr>
        <w:keepNext/>
        <w:shd w:val="clear" w:color="auto" w:fill="00B4CD"/>
        <w:spacing w:before="240" w:after="60"/>
        <w:jc w:val="center"/>
        <w:outlineLvl w:val="0"/>
        <w:rPr>
          <w:rFonts w:ascii="Cambria" w:hAnsi="Cambria"/>
          <w:b/>
          <w:bCs/>
          <w:color w:val="00B0F0"/>
          <w:kern w:val="32"/>
          <w:sz w:val="6"/>
          <w:szCs w:val="16"/>
        </w:rPr>
      </w:pPr>
    </w:p>
    <w:p w14:paraId="617386B8" w14:textId="77777777" w:rsidR="003E43F6" w:rsidRDefault="003E43F6" w:rsidP="003E43F6">
      <w:pPr>
        <w:jc w:val="center"/>
        <w:rPr>
          <w:rFonts w:ascii="Calibri" w:hAnsi="Calibri"/>
          <w:b/>
          <w:sz w:val="28"/>
          <w:szCs w:val="28"/>
        </w:rPr>
      </w:pPr>
      <w:r>
        <w:rPr>
          <w:rFonts w:ascii="Calibri" w:hAnsi="Calibri"/>
          <w:b/>
          <w:sz w:val="28"/>
          <w:szCs w:val="28"/>
        </w:rPr>
        <w:t>SUBMITTING THE BID – SOME TIPS</w:t>
      </w:r>
    </w:p>
    <w:p w14:paraId="280428C5" w14:textId="77777777" w:rsidR="003E4263" w:rsidRDefault="003E4263" w:rsidP="003E4263">
      <w:pPr>
        <w:rPr>
          <w:rFonts w:ascii="Calibri" w:hAnsi="Calibri"/>
          <w:b/>
          <w:sz w:val="28"/>
          <w:szCs w:val="28"/>
        </w:rPr>
      </w:pPr>
    </w:p>
    <w:p w14:paraId="429CE4EF" w14:textId="77777777" w:rsidR="00845F10" w:rsidRPr="00E53E0F" w:rsidRDefault="00B84B33" w:rsidP="003E4263">
      <w:pPr>
        <w:jc w:val="both"/>
      </w:pPr>
      <w:r>
        <w:t>In e</w:t>
      </w:r>
      <w:r w:rsidR="003E4263" w:rsidRPr="003E4263">
        <w:t xml:space="preserve">ach tender </w:t>
      </w:r>
      <w:r>
        <w:t>exercise</w:t>
      </w:r>
      <w:r w:rsidR="005F3AF4">
        <w:t>,</w:t>
      </w:r>
      <w:r>
        <w:t xml:space="preserve"> </w:t>
      </w:r>
      <w:r w:rsidR="003E4263" w:rsidRPr="003E4263">
        <w:t xml:space="preserve">many firms are informed that they have been unsuccessful for one of a variety of technical errors. In this section, we explain </w:t>
      </w:r>
      <w:r w:rsidR="00845F10">
        <w:t xml:space="preserve">the most common </w:t>
      </w:r>
      <w:r w:rsidR="003E4263" w:rsidRPr="003E4263">
        <w:t>errors</w:t>
      </w:r>
      <w:r w:rsidR="00894E9D">
        <w:t xml:space="preserve"> and</w:t>
      </w:r>
      <w:r w:rsidR="003E4263" w:rsidRPr="003E4263">
        <w:t xml:space="preserve"> </w:t>
      </w:r>
      <w:r w:rsidR="00E53E0F">
        <w:t>how to avoid them.</w:t>
      </w:r>
      <w:r w:rsidR="00845F10">
        <w:br/>
      </w:r>
    </w:p>
    <w:p w14:paraId="180776B9" w14:textId="77777777" w:rsidR="003E4263" w:rsidRPr="003E4263" w:rsidRDefault="003E4263" w:rsidP="003E4263">
      <w:pPr>
        <w:jc w:val="both"/>
        <w:rPr>
          <w:u w:val="single"/>
        </w:rPr>
      </w:pPr>
      <w:r w:rsidRPr="003E4263">
        <w:rPr>
          <w:u w:val="single"/>
        </w:rPr>
        <w:t>Failure to respond to questions seeking verification or clarification of your answers</w:t>
      </w:r>
    </w:p>
    <w:p w14:paraId="71625F23" w14:textId="77777777" w:rsidR="003E4263" w:rsidRPr="003E4263" w:rsidRDefault="003E4263" w:rsidP="003E4263">
      <w:pPr>
        <w:jc w:val="both"/>
      </w:pPr>
      <w:r w:rsidRPr="003E4263">
        <w:t xml:space="preserve">You will receive a </w:t>
      </w:r>
      <w:r w:rsidR="005F3AF4">
        <w:t xml:space="preserve">significant </w:t>
      </w:r>
      <w:r w:rsidRPr="003E4263">
        <w:t xml:space="preserve">volume of tender messages generated by the Bravo system. Some are more important than others and some are considered by some to be trivial. Given the sheer number of messages sent, it can be tempting to ignore or delete these messages. </w:t>
      </w:r>
      <w:r w:rsidR="00894E9D">
        <w:t xml:space="preserve"> </w:t>
      </w:r>
      <w:r w:rsidRPr="003E4263">
        <w:t xml:space="preserve">Occasionally, a very important message will be sent that looks like identical to all the other messages save for the subject heading. </w:t>
      </w:r>
      <w:r w:rsidR="00894E9D">
        <w:t xml:space="preserve"> </w:t>
      </w:r>
      <w:r w:rsidRPr="003E4263">
        <w:t xml:space="preserve">It is crucial </w:t>
      </w:r>
      <w:r w:rsidR="00894E9D">
        <w:t xml:space="preserve">therefore </w:t>
      </w:r>
      <w:r w:rsidRPr="003E4263">
        <w:t>that all Bravo messages are checked by you</w:t>
      </w:r>
      <w:r w:rsidR="009C001E">
        <w:t xml:space="preserve"> and at least one other colleague</w:t>
      </w:r>
      <w:r w:rsidRPr="003E4263">
        <w:t xml:space="preserve">. </w:t>
      </w:r>
    </w:p>
    <w:p w14:paraId="65E8A9F0" w14:textId="77777777" w:rsidR="003E4263" w:rsidRPr="003E4263" w:rsidRDefault="003E4263" w:rsidP="003E4263">
      <w:pPr>
        <w:jc w:val="both"/>
      </w:pPr>
      <w:r w:rsidRPr="003E4263">
        <w:t>It is advisable to include a few email notification addresses in your User Profile in the Bravo system. That way, if one person misses an important email, someone else should pick it up. To add further notification email addresses to the User Profile, follow these steps:</w:t>
      </w:r>
    </w:p>
    <w:p w14:paraId="29CC4F81" w14:textId="77777777" w:rsidR="003E4263" w:rsidRDefault="003E4263" w:rsidP="00F71C5D">
      <w:pPr>
        <w:pStyle w:val="ListParagraph"/>
        <w:numPr>
          <w:ilvl w:val="0"/>
          <w:numId w:val="5"/>
        </w:numPr>
        <w:jc w:val="both"/>
      </w:pPr>
      <w:r w:rsidRPr="003E4263">
        <w:t>Log-on to Bravo using your username and password</w:t>
      </w:r>
    </w:p>
    <w:p w14:paraId="1E12D03F" w14:textId="77777777" w:rsidR="00D221F1" w:rsidRPr="003E4263" w:rsidRDefault="00D221F1" w:rsidP="00D221F1">
      <w:pPr>
        <w:pStyle w:val="ListParagraph"/>
        <w:ind w:left="1440"/>
        <w:jc w:val="both"/>
      </w:pPr>
    </w:p>
    <w:p w14:paraId="52CBC632" w14:textId="77777777" w:rsidR="00D221F1" w:rsidRDefault="003E4263" w:rsidP="00F71C5D">
      <w:pPr>
        <w:pStyle w:val="ListParagraph"/>
        <w:numPr>
          <w:ilvl w:val="0"/>
          <w:numId w:val="5"/>
        </w:numPr>
        <w:jc w:val="both"/>
      </w:pPr>
      <w:r w:rsidRPr="003E4263">
        <w:t>In the top left hand corner, select ‘Manage Your Profile’</w:t>
      </w:r>
    </w:p>
    <w:p w14:paraId="6E7F46AD" w14:textId="77777777" w:rsidR="00D221F1" w:rsidRDefault="00D221F1" w:rsidP="00D221F1">
      <w:pPr>
        <w:pStyle w:val="ListParagraph"/>
      </w:pPr>
    </w:p>
    <w:p w14:paraId="23C744E0" w14:textId="77777777" w:rsidR="003E4263" w:rsidRPr="003E4263" w:rsidRDefault="003E4263" w:rsidP="00F71C5D">
      <w:pPr>
        <w:pStyle w:val="ListParagraph"/>
        <w:numPr>
          <w:ilvl w:val="0"/>
          <w:numId w:val="5"/>
        </w:numPr>
        <w:jc w:val="both"/>
      </w:pPr>
      <w:r w:rsidRPr="003E4263">
        <w:t>In the User Details section, select the cell adjacent to:</w:t>
      </w:r>
    </w:p>
    <w:p w14:paraId="2EA9F9C0" w14:textId="77777777" w:rsidR="003E4263" w:rsidRDefault="00E53E0F" w:rsidP="003E4263">
      <w:pPr>
        <w:pStyle w:val="ListParagraph"/>
        <w:ind w:left="2160"/>
        <w:jc w:val="both"/>
        <w:rPr>
          <w:i/>
          <w:sz w:val="18"/>
        </w:rPr>
      </w:pPr>
      <w:r w:rsidRPr="00E53E0F">
        <w:rPr>
          <w:i/>
          <w:sz w:val="18"/>
        </w:rPr>
        <w:t xml:space="preserve">Email Address </w:t>
      </w:r>
      <w:r w:rsidR="003E4263" w:rsidRPr="00E53E0F">
        <w:rPr>
          <w:i/>
          <w:sz w:val="18"/>
        </w:rPr>
        <w:t>IMPORTANT: This email address will be used for access to the site and for all communications. Please ensure you enter the address correctly. Please use ";" (semicolon) to separate multiple addresses.</w:t>
      </w:r>
    </w:p>
    <w:p w14:paraId="49DF1351" w14:textId="77777777" w:rsidR="00D221F1" w:rsidRPr="00E53E0F" w:rsidRDefault="00D221F1" w:rsidP="003E4263">
      <w:pPr>
        <w:pStyle w:val="ListParagraph"/>
        <w:ind w:left="2160"/>
        <w:jc w:val="both"/>
        <w:rPr>
          <w:i/>
          <w:sz w:val="18"/>
        </w:rPr>
      </w:pPr>
    </w:p>
    <w:p w14:paraId="0DF4D8BB" w14:textId="77777777" w:rsidR="003E4263" w:rsidRPr="003E4263" w:rsidRDefault="003E4263" w:rsidP="00F71C5D">
      <w:pPr>
        <w:pStyle w:val="ListParagraph"/>
        <w:numPr>
          <w:ilvl w:val="0"/>
          <w:numId w:val="5"/>
        </w:numPr>
        <w:jc w:val="both"/>
      </w:pPr>
      <w:r w:rsidRPr="003E4263">
        <w:t>Add email addresses for those people you’d like to receive the Bravo notifications.</w:t>
      </w:r>
    </w:p>
    <w:p w14:paraId="052B2A4C" w14:textId="77777777" w:rsidR="009C001E" w:rsidRDefault="009C001E" w:rsidP="00FD3489">
      <w:pPr>
        <w:jc w:val="both"/>
      </w:pPr>
      <w:r w:rsidRPr="009C001E">
        <w:t xml:space="preserve">There have </w:t>
      </w:r>
      <w:r>
        <w:t>been some firms that have lost the offer of a contract as they have not replied to a question within the timeframe stipulated by the LAA.</w:t>
      </w:r>
    </w:p>
    <w:p w14:paraId="6402471A" w14:textId="77777777" w:rsidR="00D221F1" w:rsidRDefault="00D221F1" w:rsidP="00FD3489">
      <w:pPr>
        <w:jc w:val="both"/>
      </w:pPr>
    </w:p>
    <w:p w14:paraId="466E91B4" w14:textId="77777777" w:rsidR="009C001E" w:rsidRPr="009C001E" w:rsidRDefault="00845F10" w:rsidP="00FD3489">
      <w:pPr>
        <w:jc w:val="both"/>
        <w:rPr>
          <w:u w:val="single"/>
        </w:rPr>
      </w:pPr>
      <w:r>
        <w:rPr>
          <w:u w:val="single"/>
        </w:rPr>
        <w:t>Not c</w:t>
      </w:r>
      <w:r w:rsidR="009C001E">
        <w:rPr>
          <w:u w:val="single"/>
        </w:rPr>
        <w:t>hecking tenders that have been ‘submitted’</w:t>
      </w:r>
    </w:p>
    <w:p w14:paraId="1AD87764" w14:textId="77777777" w:rsidR="009C001E" w:rsidRDefault="009C001E" w:rsidP="00FD3489">
      <w:pPr>
        <w:jc w:val="both"/>
      </w:pPr>
      <w:r>
        <w:t xml:space="preserve">It appears obvious to check the tender before it is submitted through the Bravo portal and of course most providers will do this and may retain evidence of the checked bid </w:t>
      </w:r>
      <w:r w:rsidRPr="009C001E">
        <w:rPr>
          <w:u w:val="single"/>
        </w:rPr>
        <w:t>before</w:t>
      </w:r>
      <w:r>
        <w:t xml:space="preserve"> it is submitted. However, it is much more important to check the tender </w:t>
      </w:r>
      <w:r w:rsidRPr="002229E0">
        <w:rPr>
          <w:u w:val="single"/>
        </w:rPr>
        <w:t>after</w:t>
      </w:r>
      <w:r>
        <w:t xml:space="preserve"> it has been ‘submitted.’ </w:t>
      </w:r>
    </w:p>
    <w:p w14:paraId="7D68F85D" w14:textId="77777777" w:rsidR="009C001E" w:rsidRDefault="009C001E" w:rsidP="00FD3489">
      <w:pPr>
        <w:jc w:val="both"/>
      </w:pPr>
      <w:r>
        <w:t xml:space="preserve">If the LAA find a fatal error and the provider provides evidence to show that the tender was accurate </w:t>
      </w:r>
      <w:r w:rsidRPr="009C001E">
        <w:rPr>
          <w:u w:val="single"/>
        </w:rPr>
        <w:t>before</w:t>
      </w:r>
      <w:r>
        <w:t xml:space="preserve"> it was submitted, such evidence is worthless. It is only what has been submitted that is relevant. This problem has happened to dozens of </w:t>
      </w:r>
      <w:r w:rsidR="002229E0">
        <w:t>firms</w:t>
      </w:r>
      <w:r>
        <w:t xml:space="preserve"> in the past. </w:t>
      </w:r>
    </w:p>
    <w:p w14:paraId="3F0CFB1A" w14:textId="77777777" w:rsidR="009C001E" w:rsidRDefault="009C001E" w:rsidP="00FD3489">
      <w:pPr>
        <w:jc w:val="both"/>
      </w:pPr>
      <w:r>
        <w:lastRenderedPageBreak/>
        <w:t>It is crucial to check the ‘submitted’ tender and retain evidence of the checked tender. As an absolute minimum, you should do this by printing a PDF of the ‘submitted’ tender. To do this, follow these steps:</w:t>
      </w:r>
    </w:p>
    <w:p w14:paraId="7009DCE6" w14:textId="77777777" w:rsidR="00D35B2B" w:rsidRDefault="00D35B2B" w:rsidP="00F71C5D">
      <w:pPr>
        <w:pStyle w:val="ListParagraph"/>
        <w:numPr>
          <w:ilvl w:val="0"/>
          <w:numId w:val="7"/>
        </w:numPr>
        <w:jc w:val="both"/>
      </w:pPr>
      <w:r>
        <w:t>Log-on to Bravo using your username and password</w:t>
      </w:r>
    </w:p>
    <w:p w14:paraId="456C5632" w14:textId="77777777" w:rsidR="00D221F1" w:rsidRDefault="00D221F1" w:rsidP="00D221F1">
      <w:pPr>
        <w:pStyle w:val="ListParagraph"/>
        <w:ind w:left="1440"/>
        <w:jc w:val="both"/>
      </w:pPr>
    </w:p>
    <w:p w14:paraId="683392B4" w14:textId="77777777" w:rsidR="00D221F1" w:rsidRDefault="00D35B2B" w:rsidP="00F71C5D">
      <w:pPr>
        <w:pStyle w:val="ListParagraph"/>
        <w:numPr>
          <w:ilvl w:val="0"/>
          <w:numId w:val="7"/>
        </w:numPr>
        <w:jc w:val="both"/>
      </w:pPr>
      <w:r>
        <w:t>Select My ITTs</w:t>
      </w:r>
    </w:p>
    <w:p w14:paraId="1D8FFBBA" w14:textId="77777777" w:rsidR="00D221F1" w:rsidRDefault="00D221F1" w:rsidP="00D221F1">
      <w:pPr>
        <w:pStyle w:val="ListParagraph"/>
      </w:pPr>
    </w:p>
    <w:p w14:paraId="37B8DD78" w14:textId="77777777" w:rsidR="00D35B2B" w:rsidRDefault="00D35B2B" w:rsidP="00F71C5D">
      <w:pPr>
        <w:pStyle w:val="ListParagraph"/>
        <w:numPr>
          <w:ilvl w:val="0"/>
          <w:numId w:val="7"/>
        </w:numPr>
        <w:jc w:val="both"/>
      </w:pPr>
      <w:r>
        <w:t xml:space="preserve">Select </w:t>
      </w:r>
      <w:r w:rsidR="005F3AF4">
        <w:t xml:space="preserve">the relevant </w:t>
      </w:r>
      <w:r>
        <w:t>ITT</w:t>
      </w:r>
      <w:r w:rsidR="005F3AF4">
        <w:t>s</w:t>
      </w:r>
      <w:r>
        <w:t xml:space="preserve"> </w:t>
      </w:r>
    </w:p>
    <w:p w14:paraId="4A1528B3" w14:textId="77777777" w:rsidR="00171826" w:rsidRDefault="00171826" w:rsidP="00F71C5D">
      <w:pPr>
        <w:pStyle w:val="ListParagraph"/>
        <w:numPr>
          <w:ilvl w:val="0"/>
          <w:numId w:val="7"/>
        </w:numPr>
        <w:jc w:val="both"/>
      </w:pPr>
      <w:r>
        <w:t xml:space="preserve">In the top right hand corner of the screen, click on white square with three dots - </w:t>
      </w:r>
      <w:r>
        <w:rPr>
          <w:noProof/>
          <w:lang w:eastAsia="en-GB"/>
        </w:rPr>
        <w:drawing>
          <wp:inline distT="0" distB="0" distL="0" distR="0" wp14:anchorId="48CCD171" wp14:editId="748BBAAF">
            <wp:extent cx="291666" cy="28022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uare Box.png"/>
                    <pic:cNvPicPr/>
                  </pic:nvPicPr>
                  <pic:blipFill>
                    <a:blip r:embed="rId26"/>
                    <a:stretch>
                      <a:fillRect/>
                    </a:stretch>
                  </pic:blipFill>
                  <pic:spPr>
                    <a:xfrm>
                      <a:off x="0" y="0"/>
                      <a:ext cx="303443" cy="291543"/>
                    </a:xfrm>
                    <a:prstGeom prst="rect">
                      <a:avLst/>
                    </a:prstGeom>
                  </pic:spPr>
                </pic:pic>
              </a:graphicData>
            </a:graphic>
          </wp:inline>
        </w:drawing>
      </w:r>
    </w:p>
    <w:p w14:paraId="28C72848" w14:textId="77777777" w:rsidR="00D221F1" w:rsidRDefault="00D221F1" w:rsidP="00D221F1">
      <w:pPr>
        <w:pStyle w:val="ListParagraph"/>
        <w:ind w:left="1440"/>
        <w:jc w:val="both"/>
      </w:pPr>
    </w:p>
    <w:p w14:paraId="7B61100B" w14:textId="77777777" w:rsidR="00D35B2B" w:rsidRDefault="00D35B2B" w:rsidP="00F71C5D">
      <w:pPr>
        <w:pStyle w:val="ListParagraph"/>
        <w:numPr>
          <w:ilvl w:val="0"/>
          <w:numId w:val="7"/>
        </w:numPr>
        <w:jc w:val="both"/>
      </w:pPr>
      <w:r>
        <w:t>Select Printable View</w:t>
      </w:r>
    </w:p>
    <w:p w14:paraId="55B1778C" w14:textId="77777777" w:rsidR="00D221F1" w:rsidRDefault="00D221F1" w:rsidP="00D221F1">
      <w:pPr>
        <w:pStyle w:val="ListParagraph"/>
      </w:pPr>
    </w:p>
    <w:p w14:paraId="144411F3" w14:textId="77777777" w:rsidR="00D35B2B" w:rsidRDefault="00D35B2B" w:rsidP="00F71C5D">
      <w:pPr>
        <w:pStyle w:val="ListParagraph"/>
        <w:numPr>
          <w:ilvl w:val="0"/>
          <w:numId w:val="7"/>
        </w:numPr>
        <w:jc w:val="both"/>
      </w:pPr>
      <w:r>
        <w:t>Select Download PDF</w:t>
      </w:r>
    </w:p>
    <w:p w14:paraId="127153D3" w14:textId="77777777" w:rsidR="00D221F1" w:rsidRDefault="00D221F1" w:rsidP="00D221F1">
      <w:pPr>
        <w:pStyle w:val="ListParagraph"/>
      </w:pPr>
    </w:p>
    <w:p w14:paraId="20A97024" w14:textId="77777777" w:rsidR="00D35B2B" w:rsidRDefault="00D35B2B" w:rsidP="00F71C5D">
      <w:pPr>
        <w:pStyle w:val="ListParagraph"/>
        <w:numPr>
          <w:ilvl w:val="0"/>
          <w:numId w:val="7"/>
        </w:numPr>
        <w:jc w:val="both"/>
      </w:pPr>
      <w:r>
        <w:t>Save the PDF to your PC or server</w:t>
      </w:r>
    </w:p>
    <w:p w14:paraId="1F3FC82E" w14:textId="77777777" w:rsidR="00D221F1" w:rsidRDefault="00D221F1" w:rsidP="00D221F1">
      <w:pPr>
        <w:pStyle w:val="ListParagraph"/>
      </w:pPr>
    </w:p>
    <w:p w14:paraId="6CEF61E7" w14:textId="77777777" w:rsidR="00D35B2B" w:rsidRDefault="00D35B2B" w:rsidP="00F71C5D">
      <w:pPr>
        <w:pStyle w:val="ListParagraph"/>
        <w:numPr>
          <w:ilvl w:val="0"/>
          <w:numId w:val="7"/>
        </w:numPr>
        <w:jc w:val="both"/>
      </w:pPr>
      <w:r>
        <w:t>Check the PDF. Most crucially, on Page 1 you should look for the Response Status Box. It should state ‘Response Submitted to Buyer.’ If it does not, the tender has not been submitted.</w:t>
      </w:r>
    </w:p>
    <w:p w14:paraId="368BC8EA" w14:textId="77777777" w:rsidR="00D221F1" w:rsidRDefault="00D221F1" w:rsidP="00D221F1">
      <w:pPr>
        <w:pStyle w:val="ListParagraph"/>
      </w:pPr>
    </w:p>
    <w:p w14:paraId="2BA7855C" w14:textId="77777777" w:rsidR="00D35B2B" w:rsidRDefault="00D35B2B" w:rsidP="00F71C5D">
      <w:pPr>
        <w:pStyle w:val="ListParagraph"/>
        <w:numPr>
          <w:ilvl w:val="0"/>
          <w:numId w:val="7"/>
        </w:numPr>
        <w:jc w:val="both"/>
      </w:pPr>
      <w:r>
        <w:t xml:space="preserve">Repeat the steps above for each Procurement ITT you have completed. </w:t>
      </w:r>
    </w:p>
    <w:p w14:paraId="16C3A575" w14:textId="77777777" w:rsidR="004E5984" w:rsidRDefault="004E5984" w:rsidP="00D35B2B">
      <w:pPr>
        <w:jc w:val="both"/>
      </w:pPr>
    </w:p>
    <w:p w14:paraId="54B3F7C8" w14:textId="203E72B7" w:rsidR="00D35B2B" w:rsidRDefault="00D35B2B" w:rsidP="00D35B2B">
      <w:pPr>
        <w:jc w:val="both"/>
      </w:pPr>
      <w:r>
        <w:t>Some providers have a fear of pressing the ‘submit’ button until they are 100% happy with the tender. This fear is irrational as you may re-submit a tender as many times as necessary. In fact, when we check tenders, we only do so after the ‘submit’ button has been pressed for the reasons explained above.</w:t>
      </w:r>
    </w:p>
    <w:p w14:paraId="42A97381" w14:textId="5624FBB7" w:rsidR="00B5625E" w:rsidRDefault="00D35B2B" w:rsidP="00D35B2B">
      <w:pPr>
        <w:jc w:val="both"/>
      </w:pPr>
      <w:r>
        <w:t xml:space="preserve">As an additional check, we would advise using screen capture software. Such software records you checking the tender. Our practice is to start by ensuring that the tender has been ‘submitted.’ We open the software and then visit </w:t>
      </w:r>
      <w:r w:rsidR="004A069E">
        <w:t xml:space="preserve">this </w:t>
      </w:r>
      <w:r>
        <w:t xml:space="preserve">website </w:t>
      </w:r>
      <w:hyperlink r:id="rId27" w:history="1">
        <w:r w:rsidR="004A069E" w:rsidRPr="003A271C">
          <w:rPr>
            <w:rStyle w:val="Hyperlink"/>
          </w:rPr>
          <w:t>http://www.timeanddate.com/</w:t>
        </w:r>
      </w:hyperlink>
      <w:r w:rsidR="004A069E">
        <w:t xml:space="preserve"> to show the time and date that the tender was checked. This is important because your Bravo account will record the time and date that the tender was submitted. We then record the checking of each part of the tender </w:t>
      </w:r>
      <w:r w:rsidR="0076637E">
        <w:t>to demonstrate that the tender was complete and accurate after it has been submitted.  The video file should then be stored and backup in a safe location</w:t>
      </w:r>
      <w:r w:rsidR="00B5625E">
        <w:t>.</w:t>
      </w:r>
    </w:p>
    <w:p w14:paraId="79C103EF" w14:textId="77777777" w:rsidR="00D56139" w:rsidRPr="00D56139" w:rsidRDefault="00D56139" w:rsidP="00D35B2B">
      <w:pPr>
        <w:jc w:val="both"/>
        <w:rPr>
          <w:u w:val="single"/>
        </w:rPr>
      </w:pPr>
      <w:r w:rsidRPr="00D56139">
        <w:rPr>
          <w:u w:val="single"/>
        </w:rPr>
        <w:t>Not asking others for help</w:t>
      </w:r>
    </w:p>
    <w:p w14:paraId="7CC0F37D" w14:textId="63D98607" w:rsidR="0076637E" w:rsidRDefault="00D56139" w:rsidP="00D35B2B">
      <w:pPr>
        <w:jc w:val="both"/>
      </w:pPr>
      <w:r>
        <w:t>Many firms have made fatal errors such as answering ‘Yes’ when they meant ‘No’. The LAA ha</w:t>
      </w:r>
      <w:r w:rsidR="00B5625E">
        <w:t>s</w:t>
      </w:r>
      <w:r>
        <w:t xml:space="preserve"> been heavily criticised in the past for including double negatives in questions. </w:t>
      </w:r>
    </w:p>
    <w:p w14:paraId="5CE62EB7" w14:textId="2AF79F9F" w:rsidR="00036D59" w:rsidRDefault="00D56139" w:rsidP="00D35B2B">
      <w:pPr>
        <w:jc w:val="both"/>
      </w:pPr>
      <w:r>
        <w:t xml:space="preserve">A completed tender should always be checked by at least three people. And for the reasons stated above, it’s far more important to check a submitted tender. You may wish to ask people inside and outside the firm for assistance. </w:t>
      </w:r>
    </w:p>
    <w:p w14:paraId="059B0AA2" w14:textId="78B371DF" w:rsidR="00D56139" w:rsidRPr="00D56139" w:rsidRDefault="00845F10" w:rsidP="00D35B2B">
      <w:pPr>
        <w:jc w:val="both"/>
        <w:rPr>
          <w:u w:val="single"/>
        </w:rPr>
      </w:pPr>
      <w:r>
        <w:rPr>
          <w:u w:val="single"/>
        </w:rPr>
        <w:lastRenderedPageBreak/>
        <w:t>Not c</w:t>
      </w:r>
      <w:r w:rsidR="00D56139" w:rsidRPr="00D56139">
        <w:rPr>
          <w:u w:val="single"/>
        </w:rPr>
        <w:t xml:space="preserve">hecking that </w:t>
      </w:r>
      <w:r w:rsidR="00B5625E">
        <w:rPr>
          <w:u w:val="single"/>
        </w:rPr>
        <w:t xml:space="preserve">both the SQ and all relevant </w:t>
      </w:r>
      <w:r w:rsidR="00D56139" w:rsidRPr="00D56139">
        <w:rPr>
          <w:u w:val="single"/>
        </w:rPr>
        <w:t>ITTs have been submitted.</w:t>
      </w:r>
    </w:p>
    <w:p w14:paraId="27F3AEC3" w14:textId="77777777" w:rsidR="00D35B2B" w:rsidRDefault="00D56139" w:rsidP="00D35B2B">
      <w:pPr>
        <w:jc w:val="both"/>
      </w:pPr>
      <w:r>
        <w:t xml:space="preserve">In </w:t>
      </w:r>
      <w:r w:rsidR="005F3AF4">
        <w:t xml:space="preserve">previous tender exercises, </w:t>
      </w:r>
      <w:r>
        <w:t>some firms failed</w:t>
      </w:r>
      <w:r w:rsidR="00845F10">
        <w:t xml:space="preserve"> </w:t>
      </w:r>
      <w:r>
        <w:t xml:space="preserve">because they did not successfully submit both the Pre-Qualification Questionnaire (PQQ) and the Invitation to Tender. </w:t>
      </w:r>
    </w:p>
    <w:p w14:paraId="4569217C" w14:textId="266F42D9" w:rsidR="000E3E4D" w:rsidRDefault="00D56139" w:rsidP="00D35B2B">
      <w:pPr>
        <w:jc w:val="both"/>
      </w:pPr>
      <w:r>
        <w:t>In this tender, there is no PQQ</w:t>
      </w:r>
      <w:r w:rsidR="00171826">
        <w:t xml:space="preserve">. </w:t>
      </w:r>
      <w:r>
        <w:t xml:space="preserve"> How</w:t>
      </w:r>
      <w:r w:rsidR="00E53E0F">
        <w:t>ever</w:t>
      </w:r>
      <w:r>
        <w:t>,</w:t>
      </w:r>
      <w:r w:rsidR="00E53E0F">
        <w:t xml:space="preserve"> </w:t>
      </w:r>
      <w:r>
        <w:t xml:space="preserve">you must complete </w:t>
      </w:r>
      <w:r w:rsidR="00B5625E">
        <w:t>both</w:t>
      </w:r>
      <w:r>
        <w:t xml:space="preserve"> the </w:t>
      </w:r>
      <w:r w:rsidR="005F3AF4">
        <w:t xml:space="preserve">SQ </w:t>
      </w:r>
      <w:r w:rsidR="00E53E0F">
        <w:t xml:space="preserve">and an ITT for each </w:t>
      </w:r>
      <w:r w:rsidR="005F3AF4">
        <w:t xml:space="preserve">area of law </w:t>
      </w:r>
      <w:r w:rsidR="00E53E0F">
        <w:t xml:space="preserve">that you </w:t>
      </w:r>
      <w:r w:rsidR="00B5625E">
        <w:t>want to</w:t>
      </w:r>
      <w:r w:rsidR="00E53E0F">
        <w:t xml:space="preserve"> receiv</w:t>
      </w:r>
      <w:r w:rsidR="00B5625E">
        <w:t>e</w:t>
      </w:r>
      <w:r w:rsidR="00E53E0F">
        <w:t xml:space="preserve"> a contract for.</w:t>
      </w:r>
    </w:p>
    <w:p w14:paraId="08E43FDD" w14:textId="7EFC10A5" w:rsidR="000E3E4D" w:rsidRPr="000E3E4D" w:rsidRDefault="000E3E4D" w:rsidP="00D35B2B">
      <w:pPr>
        <w:jc w:val="both"/>
        <w:rPr>
          <w:u w:val="single"/>
        </w:rPr>
      </w:pPr>
      <w:r w:rsidRPr="000E3E4D">
        <w:rPr>
          <w:u w:val="single"/>
        </w:rPr>
        <w:t>Delegating and not checking</w:t>
      </w:r>
    </w:p>
    <w:p w14:paraId="2A7821F2" w14:textId="51024CCF" w:rsidR="000E3E4D" w:rsidRPr="000E3E4D" w:rsidRDefault="000E3E4D" w:rsidP="00D35B2B">
      <w:pPr>
        <w:jc w:val="both"/>
      </w:pPr>
      <w:r>
        <w:t>Some firms have delegated the task of submitting the bid to junior, more I.T. literate staff without thoroughly checking what has been submitted.</w:t>
      </w:r>
    </w:p>
    <w:p w14:paraId="352BB00D" w14:textId="77777777" w:rsidR="00DC3853" w:rsidRPr="00DC3853" w:rsidRDefault="00DC3853" w:rsidP="00D35B2B">
      <w:pPr>
        <w:jc w:val="both"/>
        <w:rPr>
          <w:u w:val="single"/>
        </w:rPr>
      </w:pPr>
      <w:r w:rsidRPr="00DC3853">
        <w:rPr>
          <w:u w:val="single"/>
        </w:rPr>
        <w:t>Leaving it late</w:t>
      </w:r>
    </w:p>
    <w:p w14:paraId="680DA9C1" w14:textId="77777777" w:rsidR="00DC3853" w:rsidRDefault="00DC3853" w:rsidP="00D35B2B">
      <w:pPr>
        <w:jc w:val="both"/>
      </w:pPr>
      <w:r>
        <w:t xml:space="preserve">It is human nature to leave things to the last minute. After each </w:t>
      </w:r>
      <w:r w:rsidR="003574B9">
        <w:t>tender round, the LAA inform the representative bodies of the numbers of providers that do not submit the tender until the final morning. The number is very high.</w:t>
      </w:r>
    </w:p>
    <w:p w14:paraId="6F363271" w14:textId="77777777" w:rsidR="002B3233" w:rsidRDefault="002B3233" w:rsidP="00D35B2B">
      <w:pPr>
        <w:jc w:val="both"/>
      </w:pPr>
      <w:r>
        <w:t xml:space="preserve">We recall an appeal being lodged </w:t>
      </w:r>
      <w:r w:rsidR="005F3AF4">
        <w:t xml:space="preserve">where the representations were drafted </w:t>
      </w:r>
      <w:r>
        <w:t>by a QC at 11:59 just 10 seconds before the tender window closed! Such pressure can be difficult to cope with!</w:t>
      </w:r>
    </w:p>
    <w:p w14:paraId="089FC7AC" w14:textId="67248F09" w:rsidR="00B5625E" w:rsidRDefault="003574B9" w:rsidP="00DC3853">
      <w:pPr>
        <w:jc w:val="both"/>
      </w:pPr>
      <w:r>
        <w:t>Those that leave it late</w:t>
      </w:r>
      <w:r w:rsidR="002B3233">
        <w:t xml:space="preserve"> face a number of risks. The portal slows down significantly when higher numbers of providers are using the system. This is inevitably towards the end of the tender window. Further, if your broadband cuts out or a member of staff involved in submitting the bid falls ill, your stress levels will rise! A provider is also far more likely to make a mistake if the tender is submitted on the final </w:t>
      </w:r>
      <w:r w:rsidR="005F3AF4">
        <w:t>day</w:t>
      </w:r>
      <w:r w:rsidR="002B3233">
        <w:t>. It is therefore advisable not to use the Bravo portal on the final morning. However, many will come unstuck.</w:t>
      </w:r>
    </w:p>
    <w:p w14:paraId="009039F8" w14:textId="31DD80C8" w:rsidR="000E3E4D" w:rsidRPr="000E3E4D" w:rsidRDefault="000E3E4D" w:rsidP="00DC3853">
      <w:pPr>
        <w:jc w:val="both"/>
        <w:rPr>
          <w:u w:val="single"/>
        </w:rPr>
      </w:pPr>
      <w:r w:rsidRPr="000E3E4D">
        <w:rPr>
          <w:u w:val="single"/>
        </w:rPr>
        <w:t>Use video capture software</w:t>
      </w:r>
    </w:p>
    <w:p w14:paraId="6CEF5BE2" w14:textId="34CEDCC7" w:rsidR="000E3E4D" w:rsidRPr="000E3E4D" w:rsidRDefault="000E3E4D" w:rsidP="00DC3853">
      <w:pPr>
        <w:jc w:val="both"/>
      </w:pPr>
      <w:r w:rsidRPr="000E3E4D">
        <w:t>An absolute must.</w:t>
      </w:r>
      <w:r>
        <w:t xml:space="preserve"> You should use video capture software to ‘film’ checking of the submitted bid. One large firm was told in 2014 that the response had not been successfully submitted and therefore they would not be granted a contract. Upon production of the video evidence, the LAA backtracked and a contract was awarded.</w:t>
      </w:r>
    </w:p>
    <w:p w14:paraId="74BBC662" w14:textId="01FD493D" w:rsidR="00F43635" w:rsidRPr="00D83802" w:rsidRDefault="00D83802" w:rsidP="00DC3853">
      <w:pPr>
        <w:jc w:val="both"/>
        <w:rPr>
          <w:u w:val="single"/>
        </w:rPr>
      </w:pPr>
      <w:r w:rsidRPr="00D83802">
        <w:rPr>
          <w:u w:val="single"/>
        </w:rPr>
        <w:t>Browser</w:t>
      </w:r>
    </w:p>
    <w:p w14:paraId="62B68094" w14:textId="77777777" w:rsidR="00CB03DD" w:rsidRDefault="00D83802" w:rsidP="00DC3853">
      <w:pPr>
        <w:jc w:val="both"/>
      </w:pPr>
      <w:r>
        <w:t xml:space="preserve">The IFA is silent about which browsers are supported by the Bravo system. However, Bravo at </w:t>
      </w:r>
      <w:hyperlink r:id="rId28" w:history="1">
        <w:r w:rsidRPr="00893C21">
          <w:rPr>
            <w:rStyle w:val="Hyperlink"/>
          </w:rPr>
          <w:t>https://legalaid.bravosolution.co.uk/esop/common-host/public/browserenv/requirements.jsp</w:t>
        </w:r>
      </w:hyperlink>
      <w:r>
        <w:t xml:space="preserve"> </w:t>
      </w:r>
      <w:r w:rsidR="00CB03DD">
        <w:t xml:space="preserve">suggest </w:t>
      </w:r>
      <w:r>
        <w:t xml:space="preserve">that the following browsers </w:t>
      </w:r>
      <w:r w:rsidR="00CB03DD">
        <w:t>are supported:</w:t>
      </w:r>
    </w:p>
    <w:p w14:paraId="0E6FAC06" w14:textId="77777777" w:rsidR="00CB03DD" w:rsidRDefault="00CB03DD" w:rsidP="00F71C5D">
      <w:pPr>
        <w:pStyle w:val="ListParagraph"/>
        <w:numPr>
          <w:ilvl w:val="0"/>
          <w:numId w:val="10"/>
        </w:numPr>
      </w:pPr>
      <w:r w:rsidRPr="00CB03DD">
        <w:t>Internet Explorer 11</w:t>
      </w:r>
      <w:r w:rsidR="0054794A">
        <w:t xml:space="preserve"> (previous versions are not supported)</w:t>
      </w:r>
    </w:p>
    <w:p w14:paraId="6D271820" w14:textId="77777777" w:rsidR="00CB03DD" w:rsidRDefault="00CB03DD" w:rsidP="00F71C5D">
      <w:pPr>
        <w:pStyle w:val="ListParagraph"/>
        <w:numPr>
          <w:ilvl w:val="0"/>
          <w:numId w:val="10"/>
        </w:numPr>
      </w:pPr>
      <w:r w:rsidRPr="00CB03DD">
        <w:t>Google Chrome</w:t>
      </w:r>
    </w:p>
    <w:p w14:paraId="0FD57B70" w14:textId="77777777" w:rsidR="00CB03DD" w:rsidRDefault="00CB03DD" w:rsidP="00F71C5D">
      <w:pPr>
        <w:pStyle w:val="ListParagraph"/>
        <w:numPr>
          <w:ilvl w:val="0"/>
          <w:numId w:val="10"/>
        </w:numPr>
      </w:pPr>
      <w:r w:rsidRPr="00CB03DD">
        <w:t>Mozilla</w:t>
      </w:r>
      <w:r w:rsidR="0054794A">
        <w:t xml:space="preserve"> Firefox (ESR) 45</w:t>
      </w:r>
      <w:r w:rsidRPr="00CB03DD">
        <w:t>+ </w:t>
      </w:r>
    </w:p>
    <w:p w14:paraId="0BED3C40" w14:textId="77777777" w:rsidR="00FC47DA" w:rsidRDefault="0054794A" w:rsidP="00F71C5D">
      <w:pPr>
        <w:pStyle w:val="ListParagraph"/>
        <w:numPr>
          <w:ilvl w:val="0"/>
          <w:numId w:val="10"/>
        </w:numPr>
      </w:pPr>
      <w:r>
        <w:t xml:space="preserve">Safari 10 for MacOS </w:t>
      </w:r>
    </w:p>
    <w:p w14:paraId="08F5C1ED" w14:textId="01070D9E" w:rsidR="00BC5ACF" w:rsidRDefault="00BC5ACF" w:rsidP="00D12C28">
      <w:pPr>
        <w:ind w:left="360"/>
      </w:pPr>
    </w:p>
    <w:p w14:paraId="1AD2421F" w14:textId="29620334" w:rsidR="00BC5ACF" w:rsidRDefault="00B5625E" w:rsidP="00873C5F">
      <w:r>
        <w:br w:type="page"/>
      </w:r>
      <w:bookmarkStart w:id="3" w:name="_Hlk494292613"/>
    </w:p>
    <w:p w14:paraId="0F3F598F" w14:textId="77777777" w:rsidR="008973B9" w:rsidRPr="003C5237" w:rsidRDefault="008973B9" w:rsidP="008973B9">
      <w:pPr>
        <w:keepNext/>
        <w:shd w:val="clear" w:color="auto" w:fill="00B4CD"/>
        <w:spacing w:before="240" w:after="60"/>
        <w:jc w:val="center"/>
        <w:outlineLvl w:val="0"/>
        <w:rPr>
          <w:rFonts w:ascii="Cambria" w:hAnsi="Cambria"/>
          <w:b/>
          <w:bCs/>
          <w:color w:val="00B0F0"/>
          <w:kern w:val="32"/>
          <w:sz w:val="6"/>
          <w:szCs w:val="16"/>
        </w:rPr>
      </w:pPr>
    </w:p>
    <w:p w14:paraId="0C5B8291" w14:textId="77777777" w:rsidR="008973B9" w:rsidRDefault="008973B9" w:rsidP="008973B9">
      <w:pPr>
        <w:jc w:val="center"/>
        <w:rPr>
          <w:b/>
        </w:rPr>
      </w:pPr>
      <w:r>
        <w:rPr>
          <w:rFonts w:ascii="Calibri" w:hAnsi="Calibri"/>
          <w:b/>
          <w:sz w:val="28"/>
          <w:szCs w:val="28"/>
        </w:rPr>
        <w:t xml:space="preserve">ANNEX </w:t>
      </w:r>
      <w:r w:rsidR="008E0694">
        <w:rPr>
          <w:rFonts w:ascii="Calibri" w:hAnsi="Calibri"/>
          <w:b/>
          <w:sz w:val="28"/>
          <w:szCs w:val="28"/>
        </w:rPr>
        <w:t>1</w:t>
      </w:r>
      <w:r>
        <w:rPr>
          <w:rFonts w:ascii="Calibri" w:hAnsi="Calibri"/>
          <w:b/>
          <w:sz w:val="28"/>
          <w:szCs w:val="28"/>
        </w:rPr>
        <w:t xml:space="preserve"> </w:t>
      </w:r>
    </w:p>
    <w:p w14:paraId="2DACB052" w14:textId="77777777" w:rsidR="00E03C15" w:rsidRPr="00E03C15" w:rsidRDefault="008973B9" w:rsidP="00E03C15">
      <w:pPr>
        <w:jc w:val="center"/>
        <w:rPr>
          <w:b/>
          <w:sz w:val="28"/>
          <w:szCs w:val="28"/>
        </w:rPr>
      </w:pPr>
      <w:r>
        <w:rPr>
          <w:b/>
          <w:sz w:val="28"/>
          <w:szCs w:val="28"/>
        </w:rPr>
        <w:t xml:space="preserve">DG Legal </w:t>
      </w:r>
      <w:r w:rsidR="00E03C15" w:rsidRPr="00E03C15">
        <w:rPr>
          <w:b/>
          <w:sz w:val="28"/>
          <w:szCs w:val="28"/>
        </w:rPr>
        <w:t xml:space="preserve">Summary of ITT information for applicants document </w:t>
      </w:r>
    </w:p>
    <w:bookmarkEnd w:id="3"/>
    <w:p w14:paraId="54F503BE" w14:textId="77777777" w:rsidR="008973B9" w:rsidRDefault="008973B9" w:rsidP="008973B9">
      <w:pPr>
        <w:jc w:val="center"/>
        <w:rPr>
          <w:b/>
          <w:sz w:val="28"/>
          <w:szCs w:val="28"/>
        </w:rPr>
      </w:pPr>
    </w:p>
    <w:p w14:paraId="569D7493" w14:textId="77777777" w:rsidR="0054794A" w:rsidRDefault="0054794A" w:rsidP="008973B9">
      <w:pPr>
        <w:jc w:val="center"/>
        <w:rPr>
          <w:b/>
          <w:sz w:val="28"/>
          <w:szCs w:val="28"/>
        </w:rPr>
      </w:pPr>
    </w:p>
    <w:p w14:paraId="718E2276" w14:textId="77777777" w:rsidR="0054794A" w:rsidRDefault="0054794A" w:rsidP="008973B9">
      <w:pPr>
        <w:jc w:val="center"/>
        <w:rPr>
          <w:b/>
          <w:sz w:val="28"/>
          <w:szCs w:val="28"/>
        </w:rPr>
      </w:pPr>
    </w:p>
    <w:p w14:paraId="74CCFAC1" w14:textId="77777777" w:rsidR="0054794A" w:rsidRDefault="0054794A" w:rsidP="008973B9">
      <w:pPr>
        <w:jc w:val="center"/>
        <w:rPr>
          <w:b/>
          <w:sz w:val="28"/>
          <w:szCs w:val="28"/>
        </w:rPr>
      </w:pPr>
    </w:p>
    <w:p w14:paraId="76BCC1E9" w14:textId="77777777" w:rsidR="0054794A" w:rsidRDefault="0054794A" w:rsidP="008973B9">
      <w:pPr>
        <w:jc w:val="center"/>
        <w:rPr>
          <w:b/>
          <w:sz w:val="28"/>
          <w:szCs w:val="28"/>
        </w:rPr>
      </w:pPr>
    </w:p>
    <w:p w14:paraId="4267F4F7" w14:textId="77777777" w:rsidR="0054794A" w:rsidRDefault="0054794A" w:rsidP="008973B9">
      <w:pPr>
        <w:jc w:val="center"/>
        <w:rPr>
          <w:b/>
          <w:sz w:val="28"/>
          <w:szCs w:val="28"/>
        </w:rPr>
      </w:pPr>
    </w:p>
    <w:p w14:paraId="292D822C" w14:textId="77777777" w:rsidR="0054794A" w:rsidRDefault="0054794A" w:rsidP="008973B9">
      <w:pPr>
        <w:jc w:val="center"/>
        <w:rPr>
          <w:b/>
          <w:sz w:val="28"/>
          <w:szCs w:val="28"/>
        </w:rPr>
      </w:pPr>
    </w:p>
    <w:p w14:paraId="51E78EAD" w14:textId="77777777" w:rsidR="0054794A" w:rsidRDefault="0054794A" w:rsidP="008973B9">
      <w:pPr>
        <w:jc w:val="center"/>
        <w:rPr>
          <w:b/>
          <w:sz w:val="28"/>
          <w:szCs w:val="28"/>
        </w:rPr>
      </w:pPr>
    </w:p>
    <w:p w14:paraId="3B5961A2" w14:textId="77777777" w:rsidR="0054794A" w:rsidRDefault="0054794A" w:rsidP="008973B9">
      <w:pPr>
        <w:jc w:val="center"/>
        <w:rPr>
          <w:b/>
          <w:sz w:val="28"/>
          <w:szCs w:val="28"/>
        </w:rPr>
      </w:pPr>
    </w:p>
    <w:p w14:paraId="6F035512" w14:textId="77777777" w:rsidR="0054794A" w:rsidRDefault="0054794A" w:rsidP="008973B9">
      <w:pPr>
        <w:jc w:val="center"/>
        <w:rPr>
          <w:b/>
          <w:sz w:val="28"/>
          <w:szCs w:val="28"/>
        </w:rPr>
      </w:pPr>
    </w:p>
    <w:p w14:paraId="6DE38FD8" w14:textId="77777777" w:rsidR="0054794A" w:rsidRDefault="0054794A" w:rsidP="008973B9">
      <w:pPr>
        <w:jc w:val="center"/>
        <w:rPr>
          <w:b/>
          <w:sz w:val="28"/>
          <w:szCs w:val="28"/>
        </w:rPr>
      </w:pPr>
    </w:p>
    <w:p w14:paraId="4E12387F" w14:textId="77777777" w:rsidR="0054794A" w:rsidRDefault="0054794A" w:rsidP="008973B9">
      <w:pPr>
        <w:jc w:val="center"/>
        <w:rPr>
          <w:b/>
          <w:sz w:val="28"/>
          <w:szCs w:val="28"/>
        </w:rPr>
      </w:pPr>
    </w:p>
    <w:p w14:paraId="2C0E30B0" w14:textId="77777777" w:rsidR="0054794A" w:rsidRDefault="0054794A" w:rsidP="008973B9">
      <w:pPr>
        <w:jc w:val="center"/>
        <w:rPr>
          <w:b/>
          <w:sz w:val="28"/>
          <w:szCs w:val="28"/>
        </w:rPr>
      </w:pPr>
    </w:p>
    <w:p w14:paraId="376E8D88" w14:textId="77777777" w:rsidR="0054794A" w:rsidRDefault="0054794A" w:rsidP="008973B9">
      <w:pPr>
        <w:jc w:val="center"/>
        <w:rPr>
          <w:b/>
          <w:sz w:val="28"/>
          <w:szCs w:val="28"/>
        </w:rPr>
      </w:pPr>
    </w:p>
    <w:p w14:paraId="273859B9" w14:textId="77777777" w:rsidR="0054794A" w:rsidRDefault="0054794A" w:rsidP="008973B9">
      <w:pPr>
        <w:jc w:val="center"/>
        <w:rPr>
          <w:b/>
          <w:sz w:val="28"/>
          <w:szCs w:val="28"/>
        </w:rPr>
      </w:pPr>
    </w:p>
    <w:p w14:paraId="37D6D457" w14:textId="77777777" w:rsidR="0054794A" w:rsidRDefault="0054794A" w:rsidP="008973B9">
      <w:pPr>
        <w:jc w:val="center"/>
        <w:rPr>
          <w:b/>
          <w:sz w:val="28"/>
          <w:szCs w:val="28"/>
        </w:rPr>
      </w:pPr>
    </w:p>
    <w:p w14:paraId="479CE80B" w14:textId="77777777" w:rsidR="0054794A" w:rsidRDefault="0054794A" w:rsidP="008973B9">
      <w:pPr>
        <w:jc w:val="center"/>
        <w:rPr>
          <w:b/>
          <w:sz w:val="28"/>
          <w:szCs w:val="28"/>
        </w:rPr>
      </w:pPr>
    </w:p>
    <w:p w14:paraId="697ED10D" w14:textId="77777777" w:rsidR="0054794A" w:rsidRDefault="0054794A" w:rsidP="008973B9">
      <w:pPr>
        <w:jc w:val="center"/>
        <w:rPr>
          <w:b/>
          <w:sz w:val="28"/>
          <w:szCs w:val="28"/>
        </w:rPr>
      </w:pPr>
    </w:p>
    <w:p w14:paraId="4126BE82" w14:textId="77777777" w:rsidR="0054794A" w:rsidRDefault="0054794A" w:rsidP="008973B9">
      <w:pPr>
        <w:jc w:val="center"/>
        <w:rPr>
          <w:b/>
          <w:sz w:val="28"/>
          <w:szCs w:val="28"/>
        </w:rPr>
      </w:pPr>
    </w:p>
    <w:p w14:paraId="44D2DBB8" w14:textId="77777777" w:rsidR="0054794A" w:rsidRDefault="0054794A" w:rsidP="007629A1">
      <w:pPr>
        <w:rPr>
          <w:b/>
          <w:sz w:val="28"/>
          <w:szCs w:val="28"/>
        </w:rPr>
      </w:pPr>
      <w:bookmarkStart w:id="4" w:name="_Hlk494285626"/>
    </w:p>
    <w:p w14:paraId="684408CB" w14:textId="77777777" w:rsidR="0054794A" w:rsidRDefault="0054794A" w:rsidP="008973B9">
      <w:pPr>
        <w:jc w:val="center"/>
        <w:rPr>
          <w:rFonts w:ascii="Calibri" w:hAnsi="Calibri"/>
          <w:b/>
          <w:sz w:val="28"/>
          <w:szCs w:val="28"/>
        </w:rPr>
        <w:sectPr w:rsidR="0054794A" w:rsidSect="007629A1">
          <w:footerReference w:type="default" r:id="rId29"/>
          <w:pgSz w:w="11906" w:h="16838"/>
          <w:pgMar w:top="1440" w:right="1440" w:bottom="1440" w:left="1440" w:header="709" w:footer="0" w:gutter="0"/>
          <w:cols w:space="708"/>
          <w:docGrid w:linePitch="360"/>
        </w:sectPr>
      </w:pPr>
    </w:p>
    <w:p w14:paraId="1512439E" w14:textId="77777777" w:rsidR="0054794A" w:rsidRPr="003C5237" w:rsidRDefault="0054794A" w:rsidP="0054794A">
      <w:pPr>
        <w:keepNext/>
        <w:shd w:val="clear" w:color="auto" w:fill="00B4CD"/>
        <w:spacing w:before="240" w:after="60"/>
        <w:jc w:val="center"/>
        <w:outlineLvl w:val="0"/>
        <w:rPr>
          <w:rFonts w:ascii="Cambria" w:hAnsi="Cambria"/>
          <w:b/>
          <w:bCs/>
          <w:color w:val="00B0F0"/>
          <w:kern w:val="32"/>
          <w:sz w:val="6"/>
          <w:szCs w:val="16"/>
        </w:rPr>
      </w:pPr>
    </w:p>
    <w:p w14:paraId="78B8BF24" w14:textId="77777777" w:rsidR="0054794A" w:rsidRPr="008D0D23" w:rsidRDefault="0054794A" w:rsidP="00E03C15">
      <w:pPr>
        <w:jc w:val="center"/>
        <w:rPr>
          <w:rFonts w:ascii="Calibri" w:hAnsi="Calibri"/>
          <w:b/>
          <w:sz w:val="28"/>
          <w:szCs w:val="28"/>
        </w:rPr>
      </w:pPr>
      <w:r>
        <w:rPr>
          <w:rFonts w:ascii="Calibri" w:hAnsi="Calibri"/>
          <w:b/>
          <w:sz w:val="28"/>
          <w:szCs w:val="28"/>
        </w:rPr>
        <w:t xml:space="preserve">SUMMARY OF </w:t>
      </w:r>
      <w:r w:rsidR="00E03C15" w:rsidRPr="00E03C15">
        <w:rPr>
          <w:rFonts w:ascii="Calibri" w:hAnsi="Calibri"/>
          <w:b/>
          <w:sz w:val="28"/>
          <w:szCs w:val="28"/>
        </w:rPr>
        <w:t xml:space="preserve">ITT INFORMATION FOR APPLICANTS DOCUMENT </w:t>
      </w:r>
    </w:p>
    <w:p w14:paraId="6289B180" w14:textId="77777777" w:rsidR="0054794A" w:rsidRPr="008D0D23" w:rsidRDefault="0054794A" w:rsidP="0054794A">
      <w:pPr>
        <w:jc w:val="center"/>
        <w:rPr>
          <w:b/>
          <w:sz w:val="24"/>
        </w:rPr>
      </w:pPr>
      <w:r w:rsidRPr="008D0D23">
        <w:rPr>
          <w:b/>
          <w:sz w:val="24"/>
        </w:rPr>
        <w:t>Precis</w:t>
      </w:r>
      <w:r>
        <w:rPr>
          <w:b/>
          <w:sz w:val="24"/>
        </w:rPr>
        <w:t xml:space="preserve"> </w:t>
      </w:r>
      <w:r w:rsidRPr="008D0D23">
        <w:rPr>
          <w:b/>
          <w:sz w:val="24"/>
        </w:rPr>
        <w:t>of the Information for Applicants document</w:t>
      </w:r>
    </w:p>
    <w:p w14:paraId="576B6B38" w14:textId="77777777" w:rsidR="0054794A" w:rsidRDefault="0054794A" w:rsidP="0054794A">
      <w:pPr>
        <w:rPr>
          <w:sz w:val="24"/>
          <w:szCs w:val="24"/>
        </w:rPr>
      </w:pPr>
      <w:r w:rsidRPr="00C924C8">
        <w:rPr>
          <w:sz w:val="24"/>
          <w:szCs w:val="24"/>
        </w:rPr>
        <w:br/>
        <w:t xml:space="preserve">This paper is a summary of the Legal Aid Agency’s (LAA) information for Applicants (IFA) document but also includes some observations (in italics) from the team at DG Legal. The full document can be downloaded from: </w:t>
      </w:r>
      <w:hyperlink r:id="rId30" w:history="1">
        <w:r w:rsidRPr="00C924C8">
          <w:rPr>
            <w:rStyle w:val="Hyperlink"/>
            <w:sz w:val="24"/>
            <w:szCs w:val="24"/>
          </w:rPr>
          <w:t>https://www.gov.uk/government/uploads/system/uploads/attachment_data/file/645817/2018-f2f-itt-information-for-applicants.pdf</w:t>
        </w:r>
      </w:hyperlink>
      <w:r w:rsidRPr="00C924C8">
        <w:rPr>
          <w:sz w:val="24"/>
          <w:szCs w:val="24"/>
        </w:rPr>
        <w:t xml:space="preserve"> </w:t>
      </w:r>
    </w:p>
    <w:p w14:paraId="4EFD1683" w14:textId="77777777" w:rsidR="0054794A" w:rsidRPr="00C924C8" w:rsidRDefault="0054794A" w:rsidP="0054794A">
      <w:pPr>
        <w:rPr>
          <w:sz w:val="24"/>
          <w:szCs w:val="24"/>
        </w:rPr>
      </w:pPr>
      <w:r w:rsidRPr="00C924C8">
        <w:rPr>
          <w:sz w:val="24"/>
          <w:szCs w:val="24"/>
        </w:rPr>
        <w:t xml:space="preserve">Our precis should not be relied upon and is no substitute for reading the source material. </w:t>
      </w:r>
    </w:p>
    <w:p w14:paraId="5E559141" w14:textId="77777777" w:rsidR="0054794A" w:rsidRDefault="0054794A" w:rsidP="0054794A">
      <w:pPr>
        <w:rPr>
          <w:sz w:val="24"/>
        </w:rPr>
      </w:pPr>
      <w:r w:rsidRPr="004C1CE1">
        <w:rPr>
          <w:b/>
          <w:sz w:val="24"/>
        </w:rPr>
        <w:t>Timetable</w:t>
      </w:r>
    </w:p>
    <w:p w14:paraId="13B25983" w14:textId="77777777" w:rsidR="0054794A" w:rsidRPr="00ED3D20" w:rsidRDefault="0054794A" w:rsidP="0054794A">
      <w:pPr>
        <w:rPr>
          <w:sz w:val="24"/>
        </w:rPr>
      </w:pPr>
      <w:r>
        <w:rPr>
          <w:sz w:val="24"/>
        </w:rPr>
        <w:t>Current providers will be aware that the indicative timetable is simply that. The LAA usually change the timetable to allow for errors and omissions. The Contract Start Date though is least likely to change. The current timetable is:</w:t>
      </w:r>
    </w:p>
    <w:tbl>
      <w:tblPr>
        <w:tblW w:w="13433" w:type="dxa"/>
        <w:tblInd w:w="-113" w:type="dxa"/>
        <w:tblBorders>
          <w:top w:val="nil"/>
          <w:left w:val="nil"/>
          <w:bottom w:val="nil"/>
          <w:right w:val="nil"/>
        </w:tblBorders>
        <w:tblLayout w:type="fixed"/>
        <w:tblLook w:val="0000" w:firstRow="0" w:lastRow="0" w:firstColumn="0" w:lastColumn="0" w:noHBand="0" w:noVBand="0"/>
      </w:tblPr>
      <w:tblGrid>
        <w:gridCol w:w="7621"/>
        <w:gridCol w:w="5812"/>
      </w:tblGrid>
      <w:tr w:rsidR="0054794A" w:rsidRPr="00ED3D20" w14:paraId="78833AD7" w14:textId="77777777" w:rsidTr="009A4F21">
        <w:trPr>
          <w:trHeight w:val="229"/>
        </w:trPr>
        <w:tc>
          <w:tcPr>
            <w:tcW w:w="7621" w:type="dxa"/>
            <w:tcBorders>
              <w:top w:val="single" w:sz="4" w:space="0" w:color="auto"/>
              <w:left w:val="single" w:sz="4" w:space="0" w:color="auto"/>
              <w:bottom w:val="single" w:sz="4" w:space="0" w:color="auto"/>
              <w:right w:val="single" w:sz="4" w:space="0" w:color="auto"/>
            </w:tcBorders>
          </w:tcPr>
          <w:p w14:paraId="3C20A379" w14:textId="77777777" w:rsidR="0054794A" w:rsidRPr="00C924C8" w:rsidRDefault="0054794A" w:rsidP="009A4F21">
            <w:pPr>
              <w:rPr>
                <w:b/>
                <w:sz w:val="24"/>
              </w:rPr>
            </w:pPr>
            <w:r w:rsidRPr="00C924C8">
              <w:rPr>
                <w:b/>
                <w:sz w:val="24"/>
              </w:rPr>
              <w:t>Activity</w:t>
            </w:r>
          </w:p>
        </w:tc>
        <w:tc>
          <w:tcPr>
            <w:tcW w:w="5812" w:type="dxa"/>
            <w:tcBorders>
              <w:top w:val="single" w:sz="4" w:space="0" w:color="auto"/>
              <w:left w:val="single" w:sz="4" w:space="0" w:color="auto"/>
              <w:bottom w:val="single" w:sz="4" w:space="0" w:color="auto"/>
              <w:right w:val="single" w:sz="4" w:space="0" w:color="auto"/>
            </w:tcBorders>
          </w:tcPr>
          <w:p w14:paraId="4B2C2B3A" w14:textId="77777777" w:rsidR="0054794A" w:rsidRPr="00C924C8" w:rsidRDefault="0054794A" w:rsidP="009A4F21">
            <w:pPr>
              <w:rPr>
                <w:b/>
                <w:sz w:val="24"/>
              </w:rPr>
            </w:pPr>
            <w:r w:rsidRPr="00C924C8">
              <w:rPr>
                <w:b/>
                <w:sz w:val="24"/>
              </w:rPr>
              <w:t>Timescale</w:t>
            </w:r>
          </w:p>
        </w:tc>
      </w:tr>
      <w:tr w:rsidR="0054794A" w:rsidRPr="00ED3D20" w14:paraId="09E4E2FB" w14:textId="77777777" w:rsidTr="009A4F21">
        <w:trPr>
          <w:trHeight w:val="229"/>
        </w:trPr>
        <w:tc>
          <w:tcPr>
            <w:tcW w:w="7621" w:type="dxa"/>
            <w:tcBorders>
              <w:top w:val="single" w:sz="4" w:space="0" w:color="auto"/>
              <w:left w:val="single" w:sz="4" w:space="0" w:color="auto"/>
              <w:bottom w:val="single" w:sz="4" w:space="0" w:color="auto"/>
              <w:right w:val="single" w:sz="4" w:space="0" w:color="auto"/>
            </w:tcBorders>
          </w:tcPr>
          <w:p w14:paraId="5D754416" w14:textId="77777777" w:rsidR="0054794A" w:rsidRPr="00ED3D20" w:rsidRDefault="0054794A" w:rsidP="009A4F21">
            <w:pPr>
              <w:rPr>
                <w:sz w:val="24"/>
              </w:rPr>
            </w:pPr>
            <w:r w:rsidRPr="00ED3D20">
              <w:rPr>
                <w:sz w:val="24"/>
              </w:rPr>
              <w:t>Procurement process opens and available via the LAA’s e</w:t>
            </w:r>
            <w:r>
              <w:rPr>
                <w:sz w:val="24"/>
              </w:rPr>
              <w:t>-</w:t>
            </w:r>
            <w:r w:rsidRPr="00ED3D20">
              <w:rPr>
                <w:sz w:val="24"/>
              </w:rPr>
              <w:t xml:space="preserve">Tendering portal </w:t>
            </w:r>
          </w:p>
        </w:tc>
        <w:tc>
          <w:tcPr>
            <w:tcW w:w="5812" w:type="dxa"/>
            <w:tcBorders>
              <w:top w:val="single" w:sz="4" w:space="0" w:color="auto"/>
              <w:left w:val="single" w:sz="4" w:space="0" w:color="auto"/>
              <w:bottom w:val="single" w:sz="4" w:space="0" w:color="auto"/>
              <w:right w:val="single" w:sz="4" w:space="0" w:color="auto"/>
            </w:tcBorders>
          </w:tcPr>
          <w:p w14:paraId="76C1F51A" w14:textId="77777777" w:rsidR="0054794A" w:rsidRPr="00ED3D20" w:rsidRDefault="0054794A" w:rsidP="009A4F21">
            <w:pPr>
              <w:rPr>
                <w:sz w:val="24"/>
              </w:rPr>
            </w:pPr>
            <w:r>
              <w:rPr>
                <w:sz w:val="24"/>
              </w:rPr>
              <w:t>19</w:t>
            </w:r>
            <w:r w:rsidRPr="00ED3D20">
              <w:rPr>
                <w:sz w:val="24"/>
              </w:rPr>
              <w:t xml:space="preserve"> </w:t>
            </w:r>
            <w:r>
              <w:rPr>
                <w:sz w:val="24"/>
              </w:rPr>
              <w:t>September 2017</w:t>
            </w:r>
            <w:r w:rsidRPr="00ED3D20">
              <w:rPr>
                <w:sz w:val="24"/>
              </w:rPr>
              <w:t xml:space="preserve"> </w:t>
            </w:r>
          </w:p>
        </w:tc>
      </w:tr>
      <w:tr w:rsidR="0054794A" w:rsidRPr="00ED3D20" w14:paraId="799AE6AF" w14:textId="77777777" w:rsidTr="009A4F21">
        <w:trPr>
          <w:trHeight w:val="229"/>
        </w:trPr>
        <w:tc>
          <w:tcPr>
            <w:tcW w:w="7621" w:type="dxa"/>
            <w:tcBorders>
              <w:top w:val="single" w:sz="4" w:space="0" w:color="auto"/>
              <w:left w:val="single" w:sz="4" w:space="0" w:color="auto"/>
              <w:bottom w:val="single" w:sz="4" w:space="0" w:color="auto"/>
              <w:right w:val="single" w:sz="4" w:space="0" w:color="auto"/>
            </w:tcBorders>
          </w:tcPr>
          <w:p w14:paraId="2CE46677" w14:textId="77777777" w:rsidR="0054794A" w:rsidRPr="00ED3D20" w:rsidRDefault="0054794A" w:rsidP="009A4F21">
            <w:pPr>
              <w:rPr>
                <w:sz w:val="24"/>
              </w:rPr>
            </w:pPr>
            <w:r w:rsidRPr="00ED3D20">
              <w:rPr>
                <w:sz w:val="24"/>
              </w:rPr>
              <w:t xml:space="preserve">Final date for submission of questions about this procurement process </w:t>
            </w:r>
          </w:p>
        </w:tc>
        <w:tc>
          <w:tcPr>
            <w:tcW w:w="5812" w:type="dxa"/>
            <w:tcBorders>
              <w:top w:val="single" w:sz="4" w:space="0" w:color="auto"/>
              <w:left w:val="single" w:sz="4" w:space="0" w:color="auto"/>
              <w:bottom w:val="single" w:sz="4" w:space="0" w:color="auto"/>
              <w:right w:val="single" w:sz="4" w:space="0" w:color="auto"/>
            </w:tcBorders>
          </w:tcPr>
          <w:p w14:paraId="513BAE4F" w14:textId="77777777" w:rsidR="0054794A" w:rsidRPr="00C924C8" w:rsidRDefault="0054794A" w:rsidP="009A4F21">
            <w:pPr>
              <w:rPr>
                <w:b/>
                <w:sz w:val="24"/>
              </w:rPr>
            </w:pPr>
            <w:r w:rsidRPr="00C924C8">
              <w:rPr>
                <w:b/>
                <w:sz w:val="24"/>
              </w:rPr>
              <w:t>23:59 on 19 October 2017</w:t>
            </w:r>
          </w:p>
        </w:tc>
      </w:tr>
      <w:tr w:rsidR="0054794A" w:rsidRPr="00ED3D20" w14:paraId="3CA62CB4" w14:textId="77777777" w:rsidTr="009A4F21">
        <w:trPr>
          <w:trHeight w:val="229"/>
        </w:trPr>
        <w:tc>
          <w:tcPr>
            <w:tcW w:w="7621" w:type="dxa"/>
            <w:tcBorders>
              <w:top w:val="single" w:sz="4" w:space="0" w:color="auto"/>
              <w:left w:val="single" w:sz="4" w:space="0" w:color="auto"/>
              <w:bottom w:val="single" w:sz="4" w:space="0" w:color="auto"/>
              <w:right w:val="single" w:sz="4" w:space="0" w:color="auto"/>
            </w:tcBorders>
          </w:tcPr>
          <w:p w14:paraId="4690CD8C" w14:textId="77777777" w:rsidR="0054794A" w:rsidRPr="00ED3D20" w:rsidRDefault="0054794A" w:rsidP="009A4F21">
            <w:pPr>
              <w:rPr>
                <w:sz w:val="24"/>
              </w:rPr>
            </w:pPr>
            <w:r>
              <w:rPr>
                <w:sz w:val="24"/>
              </w:rPr>
              <w:t xml:space="preserve">Final </w:t>
            </w:r>
            <w:r w:rsidRPr="00ED3D20">
              <w:rPr>
                <w:sz w:val="24"/>
              </w:rPr>
              <w:t xml:space="preserve">‘Frequently Asked Questions’ </w:t>
            </w:r>
            <w:r>
              <w:rPr>
                <w:sz w:val="24"/>
              </w:rPr>
              <w:t xml:space="preserve">document </w:t>
            </w:r>
            <w:r w:rsidRPr="00ED3D20">
              <w:rPr>
                <w:sz w:val="24"/>
              </w:rPr>
              <w:t xml:space="preserve">to be published </w:t>
            </w:r>
          </w:p>
        </w:tc>
        <w:tc>
          <w:tcPr>
            <w:tcW w:w="5812" w:type="dxa"/>
            <w:tcBorders>
              <w:top w:val="single" w:sz="4" w:space="0" w:color="auto"/>
              <w:left w:val="single" w:sz="4" w:space="0" w:color="auto"/>
              <w:bottom w:val="single" w:sz="4" w:space="0" w:color="auto"/>
              <w:right w:val="single" w:sz="4" w:space="0" w:color="auto"/>
            </w:tcBorders>
          </w:tcPr>
          <w:p w14:paraId="3C2A4502" w14:textId="77777777" w:rsidR="0054794A" w:rsidRPr="00ED3D20" w:rsidRDefault="0054794A" w:rsidP="009A4F21">
            <w:pPr>
              <w:rPr>
                <w:sz w:val="24"/>
              </w:rPr>
            </w:pPr>
            <w:r>
              <w:rPr>
                <w:sz w:val="24"/>
              </w:rPr>
              <w:t>W/C 30 October 2017</w:t>
            </w:r>
          </w:p>
        </w:tc>
      </w:tr>
      <w:tr w:rsidR="0054794A" w:rsidRPr="00ED3D20" w14:paraId="1B1F2C09" w14:textId="77777777" w:rsidTr="009A4F21">
        <w:trPr>
          <w:trHeight w:val="103"/>
        </w:trPr>
        <w:tc>
          <w:tcPr>
            <w:tcW w:w="7621" w:type="dxa"/>
            <w:tcBorders>
              <w:top w:val="single" w:sz="4" w:space="0" w:color="auto"/>
              <w:left w:val="single" w:sz="4" w:space="0" w:color="auto"/>
              <w:bottom w:val="single" w:sz="4" w:space="0" w:color="auto"/>
              <w:right w:val="single" w:sz="4" w:space="0" w:color="auto"/>
            </w:tcBorders>
          </w:tcPr>
          <w:p w14:paraId="4E0DBA19" w14:textId="77777777" w:rsidR="0054794A" w:rsidRPr="00ED3D20" w:rsidRDefault="0054794A" w:rsidP="009A4F21">
            <w:pPr>
              <w:rPr>
                <w:b/>
                <w:sz w:val="24"/>
              </w:rPr>
            </w:pPr>
            <w:r w:rsidRPr="00ED3D20">
              <w:rPr>
                <w:b/>
                <w:sz w:val="24"/>
              </w:rPr>
              <w:t xml:space="preserve">Deadline for submission of Tenders </w:t>
            </w:r>
          </w:p>
        </w:tc>
        <w:tc>
          <w:tcPr>
            <w:tcW w:w="5812" w:type="dxa"/>
            <w:tcBorders>
              <w:top w:val="single" w:sz="4" w:space="0" w:color="auto"/>
              <w:left w:val="single" w:sz="4" w:space="0" w:color="auto"/>
              <w:bottom w:val="single" w:sz="4" w:space="0" w:color="auto"/>
              <w:right w:val="single" w:sz="4" w:space="0" w:color="auto"/>
            </w:tcBorders>
          </w:tcPr>
          <w:p w14:paraId="7FA94092" w14:textId="77777777" w:rsidR="0054794A" w:rsidRPr="00ED3D20" w:rsidRDefault="0054794A" w:rsidP="009A4F21">
            <w:pPr>
              <w:rPr>
                <w:b/>
                <w:sz w:val="24"/>
              </w:rPr>
            </w:pPr>
            <w:r>
              <w:rPr>
                <w:b/>
                <w:sz w:val="24"/>
              </w:rPr>
              <w:t>17:00 on 10</w:t>
            </w:r>
            <w:r w:rsidRPr="00ED3D20">
              <w:rPr>
                <w:b/>
                <w:sz w:val="24"/>
              </w:rPr>
              <w:t xml:space="preserve"> </w:t>
            </w:r>
            <w:r>
              <w:rPr>
                <w:b/>
                <w:sz w:val="24"/>
              </w:rPr>
              <w:t>November 2017</w:t>
            </w:r>
          </w:p>
        </w:tc>
      </w:tr>
      <w:tr w:rsidR="0054794A" w:rsidRPr="00ED3D20" w14:paraId="470ED8E6" w14:textId="77777777" w:rsidTr="009A4F21">
        <w:trPr>
          <w:trHeight w:val="103"/>
        </w:trPr>
        <w:tc>
          <w:tcPr>
            <w:tcW w:w="7621" w:type="dxa"/>
            <w:tcBorders>
              <w:top w:val="single" w:sz="4" w:space="0" w:color="auto"/>
              <w:left w:val="single" w:sz="4" w:space="0" w:color="auto"/>
              <w:bottom w:val="single" w:sz="4" w:space="0" w:color="auto"/>
              <w:right w:val="single" w:sz="4" w:space="0" w:color="auto"/>
            </w:tcBorders>
          </w:tcPr>
          <w:p w14:paraId="15E906A6" w14:textId="77777777" w:rsidR="0054794A" w:rsidRPr="00ED3D20" w:rsidRDefault="0054794A" w:rsidP="009A4F21">
            <w:pPr>
              <w:rPr>
                <w:sz w:val="24"/>
              </w:rPr>
            </w:pPr>
            <w:r w:rsidRPr="00ED3D20">
              <w:rPr>
                <w:sz w:val="24"/>
              </w:rPr>
              <w:t xml:space="preserve">Outcome of Tenders notified </w:t>
            </w:r>
          </w:p>
        </w:tc>
        <w:tc>
          <w:tcPr>
            <w:tcW w:w="5812" w:type="dxa"/>
            <w:tcBorders>
              <w:top w:val="single" w:sz="4" w:space="0" w:color="auto"/>
              <w:left w:val="single" w:sz="4" w:space="0" w:color="auto"/>
              <w:bottom w:val="single" w:sz="4" w:space="0" w:color="auto"/>
              <w:right w:val="single" w:sz="4" w:space="0" w:color="auto"/>
            </w:tcBorders>
          </w:tcPr>
          <w:p w14:paraId="27B0DCAE" w14:textId="77777777" w:rsidR="0054794A" w:rsidRPr="00ED3D20" w:rsidRDefault="0054794A" w:rsidP="009A4F21">
            <w:pPr>
              <w:rPr>
                <w:sz w:val="24"/>
              </w:rPr>
            </w:pPr>
            <w:r>
              <w:rPr>
                <w:sz w:val="24"/>
              </w:rPr>
              <w:t>Housing, Debt &amp; Welfare Benefits  – January 2018</w:t>
            </w:r>
            <w:r>
              <w:rPr>
                <w:sz w:val="24"/>
              </w:rPr>
              <w:br/>
              <w:t>All other categories – March 2018</w:t>
            </w:r>
            <w:r w:rsidRPr="00ED3D20">
              <w:rPr>
                <w:sz w:val="24"/>
              </w:rPr>
              <w:t xml:space="preserve"> </w:t>
            </w:r>
          </w:p>
        </w:tc>
      </w:tr>
      <w:tr w:rsidR="0054794A" w:rsidRPr="00ED3D20" w14:paraId="4E280073" w14:textId="77777777" w:rsidTr="009A4F21">
        <w:trPr>
          <w:trHeight w:val="356"/>
        </w:trPr>
        <w:tc>
          <w:tcPr>
            <w:tcW w:w="7621" w:type="dxa"/>
            <w:tcBorders>
              <w:top w:val="single" w:sz="4" w:space="0" w:color="auto"/>
              <w:left w:val="single" w:sz="4" w:space="0" w:color="auto"/>
              <w:bottom w:val="single" w:sz="4" w:space="0" w:color="auto"/>
              <w:right w:val="single" w:sz="4" w:space="0" w:color="auto"/>
            </w:tcBorders>
          </w:tcPr>
          <w:p w14:paraId="1FA3D9A8" w14:textId="77777777" w:rsidR="0054794A" w:rsidRPr="00ED3D20" w:rsidRDefault="0054794A" w:rsidP="009A4F21">
            <w:pPr>
              <w:rPr>
                <w:sz w:val="24"/>
              </w:rPr>
            </w:pPr>
            <w:r w:rsidRPr="00ED3D20">
              <w:rPr>
                <w:sz w:val="24"/>
              </w:rPr>
              <w:t xml:space="preserve">Final deadline for submitting Tender verification </w:t>
            </w:r>
          </w:p>
        </w:tc>
        <w:tc>
          <w:tcPr>
            <w:tcW w:w="5812" w:type="dxa"/>
            <w:tcBorders>
              <w:top w:val="single" w:sz="4" w:space="0" w:color="auto"/>
              <w:left w:val="single" w:sz="4" w:space="0" w:color="auto"/>
              <w:bottom w:val="single" w:sz="4" w:space="0" w:color="auto"/>
              <w:right w:val="single" w:sz="4" w:space="0" w:color="auto"/>
            </w:tcBorders>
          </w:tcPr>
          <w:p w14:paraId="6BE1BD4C" w14:textId="77777777" w:rsidR="0054794A" w:rsidRPr="00ED3D20" w:rsidRDefault="0054794A" w:rsidP="009A4F21">
            <w:pPr>
              <w:rPr>
                <w:sz w:val="24"/>
              </w:rPr>
            </w:pPr>
            <w:r>
              <w:rPr>
                <w:sz w:val="24"/>
              </w:rPr>
              <w:t>20 July 2018</w:t>
            </w:r>
            <w:r w:rsidRPr="00ED3D20">
              <w:rPr>
                <w:sz w:val="24"/>
              </w:rPr>
              <w:t xml:space="preserve"> </w:t>
            </w:r>
          </w:p>
        </w:tc>
      </w:tr>
      <w:tr w:rsidR="0054794A" w:rsidRPr="00ED3D20" w14:paraId="32C51E23" w14:textId="77777777" w:rsidTr="009A4F21">
        <w:trPr>
          <w:trHeight w:val="103"/>
        </w:trPr>
        <w:tc>
          <w:tcPr>
            <w:tcW w:w="7621" w:type="dxa"/>
            <w:tcBorders>
              <w:top w:val="single" w:sz="4" w:space="0" w:color="auto"/>
              <w:left w:val="single" w:sz="4" w:space="0" w:color="auto"/>
              <w:bottom w:val="single" w:sz="4" w:space="0" w:color="auto"/>
              <w:right w:val="single" w:sz="4" w:space="0" w:color="auto"/>
            </w:tcBorders>
          </w:tcPr>
          <w:p w14:paraId="6FA60EB8" w14:textId="77777777" w:rsidR="0054794A" w:rsidRPr="00ED3D20" w:rsidRDefault="0054794A" w:rsidP="009A4F21">
            <w:pPr>
              <w:rPr>
                <w:b/>
                <w:sz w:val="24"/>
              </w:rPr>
            </w:pPr>
            <w:r w:rsidRPr="00ED3D20">
              <w:rPr>
                <w:b/>
                <w:sz w:val="24"/>
              </w:rPr>
              <w:t xml:space="preserve">Contract Start Date </w:t>
            </w:r>
          </w:p>
        </w:tc>
        <w:tc>
          <w:tcPr>
            <w:tcW w:w="5812" w:type="dxa"/>
            <w:tcBorders>
              <w:top w:val="single" w:sz="4" w:space="0" w:color="auto"/>
              <w:left w:val="single" w:sz="4" w:space="0" w:color="auto"/>
              <w:bottom w:val="single" w:sz="4" w:space="0" w:color="auto"/>
              <w:right w:val="single" w:sz="4" w:space="0" w:color="auto"/>
            </w:tcBorders>
          </w:tcPr>
          <w:p w14:paraId="508FABF8" w14:textId="77777777" w:rsidR="0054794A" w:rsidRPr="00ED3D20" w:rsidRDefault="0054794A" w:rsidP="009A4F21">
            <w:pPr>
              <w:rPr>
                <w:b/>
                <w:sz w:val="24"/>
              </w:rPr>
            </w:pPr>
            <w:r w:rsidRPr="00ED3D20">
              <w:rPr>
                <w:b/>
                <w:sz w:val="24"/>
              </w:rPr>
              <w:t xml:space="preserve">1 </w:t>
            </w:r>
            <w:r>
              <w:rPr>
                <w:b/>
                <w:sz w:val="24"/>
              </w:rPr>
              <w:t>September 2018</w:t>
            </w:r>
            <w:r w:rsidRPr="00ED3D20">
              <w:rPr>
                <w:b/>
                <w:sz w:val="24"/>
              </w:rPr>
              <w:t xml:space="preserve"> </w:t>
            </w:r>
          </w:p>
        </w:tc>
      </w:tr>
    </w:tbl>
    <w:p w14:paraId="4F2204C6" w14:textId="77777777" w:rsidR="0054794A" w:rsidRDefault="0054794A" w:rsidP="0054794A">
      <w:pPr>
        <w:rPr>
          <w:b/>
          <w:sz w:val="24"/>
        </w:rPr>
      </w:pPr>
    </w:p>
    <w:p w14:paraId="671DF486" w14:textId="77777777" w:rsidR="0054794A" w:rsidRPr="007F0548" w:rsidRDefault="0054794A" w:rsidP="0054794A">
      <w:pPr>
        <w:rPr>
          <w:b/>
          <w:sz w:val="24"/>
        </w:rPr>
      </w:pPr>
      <w:r w:rsidRPr="007F0548">
        <w:rPr>
          <w:b/>
          <w:sz w:val="24"/>
        </w:rPr>
        <w:lastRenderedPageBreak/>
        <w:t>Section</w:t>
      </w:r>
      <w:r>
        <w:rPr>
          <w:b/>
          <w:sz w:val="24"/>
        </w:rPr>
        <w:t xml:space="preserve"> 1: Introduction and Background</w:t>
      </w:r>
    </w:p>
    <w:p w14:paraId="033A954C" w14:textId="77777777" w:rsidR="0054794A" w:rsidRDefault="0054794A" w:rsidP="0054794A">
      <w:pPr>
        <w:rPr>
          <w:sz w:val="24"/>
        </w:rPr>
      </w:pPr>
      <w:r>
        <w:rPr>
          <w:sz w:val="24"/>
        </w:rPr>
        <w:t xml:space="preserve">This is an introductory chapter providing information about the LAA and setting out the background to the tender. </w:t>
      </w:r>
    </w:p>
    <w:p w14:paraId="797E2533" w14:textId="77777777" w:rsidR="0054794A" w:rsidRDefault="0054794A" w:rsidP="0054794A">
      <w:pPr>
        <w:rPr>
          <w:sz w:val="24"/>
        </w:rPr>
      </w:pPr>
      <w:r>
        <w:rPr>
          <w:sz w:val="24"/>
        </w:rPr>
        <w:t xml:space="preserve">The contracts are due to last for 3 years with the ability to extend for a further 2 years. </w:t>
      </w:r>
    </w:p>
    <w:p w14:paraId="77661641" w14:textId="77777777" w:rsidR="0054794A" w:rsidRPr="00B97241" w:rsidRDefault="0054794A" w:rsidP="0054794A">
      <w:pPr>
        <w:pBdr>
          <w:top w:val="single" w:sz="4" w:space="1" w:color="auto"/>
          <w:left w:val="single" w:sz="4" w:space="4" w:color="auto"/>
          <w:bottom w:val="single" w:sz="4" w:space="1" w:color="auto"/>
          <w:right w:val="single" w:sz="4" w:space="4" w:color="auto"/>
        </w:pBdr>
        <w:shd w:val="clear" w:color="auto" w:fill="B8CCE4" w:themeFill="accent1" w:themeFillTint="66"/>
        <w:rPr>
          <w:i/>
          <w:sz w:val="24"/>
        </w:rPr>
      </w:pPr>
      <w:r w:rsidRPr="00B97241">
        <w:rPr>
          <w:i/>
          <w:sz w:val="24"/>
        </w:rPr>
        <w:t>However, past experience (with both civil and crime contracts</w:t>
      </w:r>
      <w:r>
        <w:rPr>
          <w:i/>
          <w:sz w:val="24"/>
        </w:rPr>
        <w:t>)</w:t>
      </w:r>
      <w:r w:rsidRPr="00B97241">
        <w:rPr>
          <w:i/>
          <w:sz w:val="24"/>
        </w:rPr>
        <w:t xml:space="preserve"> is that the LAA in practice can and do extend for an even longer period of time.</w:t>
      </w:r>
    </w:p>
    <w:p w14:paraId="2270AEC8" w14:textId="77777777" w:rsidR="0054794A" w:rsidRDefault="0054794A" w:rsidP="0054794A">
      <w:pPr>
        <w:rPr>
          <w:sz w:val="24"/>
        </w:rPr>
      </w:pPr>
      <w:r>
        <w:rPr>
          <w:sz w:val="24"/>
        </w:rPr>
        <w:t>The IFA seeks to invite tenders for:</w:t>
      </w:r>
    </w:p>
    <w:p w14:paraId="57EDE92D" w14:textId="77777777" w:rsidR="0054794A" w:rsidRPr="00B97241" w:rsidRDefault="0054794A" w:rsidP="0054794A">
      <w:pPr>
        <w:rPr>
          <w:sz w:val="28"/>
        </w:rPr>
      </w:pPr>
      <w:r>
        <w:rPr>
          <w:sz w:val="24"/>
        </w:rPr>
        <w:t xml:space="preserve">Family; </w:t>
      </w:r>
      <w:r w:rsidRPr="00B97241">
        <w:rPr>
          <w:sz w:val="24"/>
        </w:rPr>
        <w:t>Housin</w:t>
      </w:r>
      <w:r>
        <w:rPr>
          <w:sz w:val="24"/>
        </w:rPr>
        <w:t xml:space="preserve">g, Debt and Welfare Benefits; </w:t>
      </w:r>
      <w:r w:rsidRPr="00B97241">
        <w:rPr>
          <w:sz w:val="24"/>
        </w:rPr>
        <w:t>Immigration and Asylum (including work at Immigrati</w:t>
      </w:r>
      <w:r>
        <w:rPr>
          <w:sz w:val="24"/>
        </w:rPr>
        <w:t xml:space="preserve">on Removal Centres (“IRCs”)); </w:t>
      </w:r>
      <w:r w:rsidRPr="00B97241">
        <w:rPr>
          <w:sz w:val="24"/>
        </w:rPr>
        <w:t>Men</w:t>
      </w:r>
      <w:r>
        <w:rPr>
          <w:sz w:val="24"/>
        </w:rPr>
        <w:t xml:space="preserve">tal Health; Community Care; </w:t>
      </w:r>
      <w:r w:rsidRPr="00B97241">
        <w:rPr>
          <w:sz w:val="24"/>
        </w:rPr>
        <w:t>Claims Against Public Authorities (formerly known as ‘Actions Against the Police</w:t>
      </w:r>
      <w:r>
        <w:rPr>
          <w:sz w:val="24"/>
        </w:rPr>
        <w:t xml:space="preserve"> etc’); Clinical Negligence;  Public Law; </w:t>
      </w:r>
      <w:r w:rsidRPr="00B97241">
        <w:rPr>
          <w:sz w:val="24"/>
        </w:rPr>
        <w:t>Family Mediation.</w:t>
      </w:r>
    </w:p>
    <w:p w14:paraId="5D1737DE" w14:textId="77777777" w:rsidR="0054794A" w:rsidRDefault="0054794A" w:rsidP="0054794A">
      <w:pPr>
        <w:rPr>
          <w:b/>
          <w:sz w:val="24"/>
        </w:rPr>
      </w:pPr>
      <w:r w:rsidRPr="0013656A">
        <w:rPr>
          <w:sz w:val="24"/>
        </w:rPr>
        <w:t>In previous tender rounds, a high number of organisations have changed lega</w:t>
      </w:r>
      <w:r>
        <w:rPr>
          <w:sz w:val="24"/>
        </w:rPr>
        <w:t>l status after submitting the bi</w:t>
      </w:r>
      <w:r w:rsidRPr="0013656A">
        <w:rPr>
          <w:sz w:val="24"/>
        </w:rPr>
        <w:t>d but before the contract start date.</w:t>
      </w:r>
      <w:r>
        <w:rPr>
          <w:b/>
          <w:sz w:val="24"/>
        </w:rPr>
        <w:t xml:space="preserve"> For the first time, the LAA will not allow organisations to change legal status between the date that the tender is submitted and the contract start date. </w:t>
      </w:r>
    </w:p>
    <w:p w14:paraId="5EC7154A" w14:textId="77777777" w:rsidR="0054794A" w:rsidRPr="0013656A" w:rsidRDefault="0054794A" w:rsidP="0054794A">
      <w:pPr>
        <w:rPr>
          <w:sz w:val="24"/>
        </w:rPr>
      </w:pPr>
      <w:r w:rsidRPr="0013656A">
        <w:rPr>
          <w:sz w:val="24"/>
        </w:rPr>
        <w:t xml:space="preserve">As with previous tenders, applicants must tender as the entity it will be with effect from the Contract Start Date. </w:t>
      </w:r>
    </w:p>
    <w:p w14:paraId="1688A954" w14:textId="77777777" w:rsidR="0054794A" w:rsidRDefault="0054794A" w:rsidP="0054794A">
      <w:pPr>
        <w:rPr>
          <w:sz w:val="24"/>
        </w:rPr>
      </w:pPr>
      <w:r w:rsidRPr="0013656A">
        <w:rPr>
          <w:sz w:val="24"/>
        </w:rPr>
        <w:t xml:space="preserve">By submitting a tender, an organisation is committed to delivering all of the contract work tendered for. </w:t>
      </w:r>
    </w:p>
    <w:p w14:paraId="13D4AF25" w14:textId="77777777" w:rsidR="0054794A" w:rsidRPr="00ED5ADF" w:rsidRDefault="0054794A" w:rsidP="0054794A">
      <w:pPr>
        <w:rPr>
          <w:sz w:val="24"/>
        </w:rPr>
      </w:pPr>
    </w:p>
    <w:p w14:paraId="614FD7AF" w14:textId="77777777" w:rsidR="0054794A" w:rsidRPr="00ED5ADF" w:rsidRDefault="0054794A" w:rsidP="0054794A">
      <w:pPr>
        <w:rPr>
          <w:b/>
          <w:sz w:val="24"/>
        </w:rPr>
      </w:pPr>
      <w:r>
        <w:rPr>
          <w:b/>
          <w:sz w:val="24"/>
        </w:rPr>
        <w:t xml:space="preserve">Lots </w:t>
      </w:r>
    </w:p>
    <w:p w14:paraId="4F124C16" w14:textId="77777777" w:rsidR="0054794A" w:rsidRPr="00ED5ADF" w:rsidRDefault="0054794A" w:rsidP="00F71C5D">
      <w:pPr>
        <w:numPr>
          <w:ilvl w:val="1"/>
          <w:numId w:val="13"/>
        </w:numPr>
        <w:spacing w:after="160" w:line="259" w:lineRule="auto"/>
        <w:rPr>
          <w:sz w:val="24"/>
        </w:rPr>
      </w:pPr>
      <w:r w:rsidRPr="00ED5ADF">
        <w:rPr>
          <w:sz w:val="24"/>
        </w:rPr>
        <w:t xml:space="preserve">Lots will apply to the Categories of: </w:t>
      </w:r>
    </w:p>
    <w:p w14:paraId="0BFDB6F8" w14:textId="77777777" w:rsidR="0054794A" w:rsidRPr="00D25C87" w:rsidRDefault="0054794A" w:rsidP="00F71C5D">
      <w:pPr>
        <w:numPr>
          <w:ilvl w:val="1"/>
          <w:numId w:val="13"/>
        </w:numPr>
        <w:spacing w:after="160" w:line="259" w:lineRule="auto"/>
        <w:rPr>
          <w:sz w:val="24"/>
        </w:rPr>
      </w:pPr>
      <w:r>
        <w:rPr>
          <w:sz w:val="24"/>
        </w:rPr>
        <w:t xml:space="preserve">Family; </w:t>
      </w:r>
      <w:r w:rsidRPr="00D25C87">
        <w:rPr>
          <w:sz w:val="24"/>
        </w:rPr>
        <w:t xml:space="preserve">Housing; Immigration and Asylum; Mental Health; Community Care; Public Law; </w:t>
      </w:r>
      <w:r>
        <w:rPr>
          <w:sz w:val="24"/>
        </w:rPr>
        <w:t xml:space="preserve">and </w:t>
      </w:r>
      <w:r w:rsidRPr="00D25C87">
        <w:rPr>
          <w:sz w:val="24"/>
        </w:rPr>
        <w:t xml:space="preserve">Claims Against Public Authorities (formerly known as Actions Against the Police). </w:t>
      </w:r>
    </w:p>
    <w:p w14:paraId="1F610CCE" w14:textId="77777777" w:rsidR="0054794A" w:rsidRPr="00ED5ADF" w:rsidRDefault="0054794A" w:rsidP="00F71C5D">
      <w:pPr>
        <w:pStyle w:val="Default"/>
        <w:numPr>
          <w:ilvl w:val="0"/>
          <w:numId w:val="13"/>
        </w:numPr>
        <w:rPr>
          <w:szCs w:val="22"/>
        </w:rPr>
      </w:pPr>
      <w:r w:rsidRPr="00ED5ADF">
        <w:rPr>
          <w:rFonts w:asciiTheme="minorHAnsi" w:hAnsiTheme="minorHAnsi"/>
          <w:szCs w:val="22"/>
        </w:rPr>
        <w:t xml:space="preserve">For </w:t>
      </w:r>
      <w:r>
        <w:rPr>
          <w:rFonts w:asciiTheme="minorHAnsi" w:hAnsiTheme="minorHAnsi"/>
          <w:szCs w:val="22"/>
        </w:rPr>
        <w:t xml:space="preserve">Debt, </w:t>
      </w:r>
      <w:r w:rsidRPr="00ED5ADF">
        <w:rPr>
          <w:rFonts w:asciiTheme="minorHAnsi" w:hAnsiTheme="minorHAnsi"/>
          <w:szCs w:val="22"/>
        </w:rPr>
        <w:t>Welfare Benefits, Family Mediation and Clinical Negligence, Lots will not apply and Applicants will not be required to tender for a specific Lot. Successful Individual Bids within these Categories will be awarded a fixed allocation for the first year of the Contract</w:t>
      </w:r>
      <w:r w:rsidRPr="00ED5ADF">
        <w:rPr>
          <w:szCs w:val="22"/>
        </w:rPr>
        <w:t xml:space="preserve">. </w:t>
      </w:r>
    </w:p>
    <w:p w14:paraId="693503F7" w14:textId="77777777" w:rsidR="0054794A" w:rsidRDefault="0054794A" w:rsidP="0054794A">
      <w:pPr>
        <w:rPr>
          <w:b/>
          <w:sz w:val="24"/>
        </w:rPr>
      </w:pPr>
    </w:p>
    <w:p w14:paraId="31E5FF5C" w14:textId="77777777" w:rsidR="0054794A" w:rsidRPr="00ED5ADF" w:rsidRDefault="0054794A" w:rsidP="0054794A">
      <w:pPr>
        <w:rPr>
          <w:b/>
          <w:sz w:val="24"/>
        </w:rPr>
      </w:pPr>
    </w:p>
    <w:p w14:paraId="5F824416" w14:textId="77777777" w:rsidR="0054794A" w:rsidRPr="001116DA" w:rsidRDefault="0054794A" w:rsidP="0054794A">
      <w:pPr>
        <w:rPr>
          <w:b/>
          <w:sz w:val="24"/>
        </w:rPr>
      </w:pPr>
      <w:r w:rsidRPr="001116DA">
        <w:rPr>
          <w:b/>
          <w:sz w:val="24"/>
        </w:rPr>
        <w:t>Section 2: Procurement Process Requirements</w:t>
      </w:r>
    </w:p>
    <w:p w14:paraId="237AEDC4" w14:textId="77777777" w:rsidR="0054794A" w:rsidRPr="003F02FE" w:rsidRDefault="0054794A" w:rsidP="0054794A">
      <w:pPr>
        <w:rPr>
          <w:i/>
          <w:sz w:val="24"/>
        </w:rPr>
      </w:pPr>
      <w:r w:rsidRPr="003F02FE">
        <w:rPr>
          <w:i/>
          <w:sz w:val="24"/>
        </w:rPr>
        <w:t>Generic Requirements</w:t>
      </w:r>
    </w:p>
    <w:p w14:paraId="3E002FA7" w14:textId="77777777" w:rsidR="0054794A" w:rsidRDefault="0054794A" w:rsidP="0054794A">
      <w:pPr>
        <w:rPr>
          <w:sz w:val="24"/>
        </w:rPr>
      </w:pPr>
      <w:r>
        <w:rPr>
          <w:sz w:val="24"/>
        </w:rPr>
        <w:t>In order to participate, applicants must submit a completed Selection Questionnaire (SQ) – previously known as a Pre-Qualification Questionnaire - and one or more Invitation to Tender (ITT) bids.</w:t>
      </w:r>
    </w:p>
    <w:p w14:paraId="2830DD08" w14:textId="77777777" w:rsidR="0054794A" w:rsidRPr="00C924C8" w:rsidRDefault="0054794A" w:rsidP="0054794A">
      <w:pPr>
        <w:rPr>
          <w:sz w:val="24"/>
        </w:rPr>
      </w:pPr>
      <w:r>
        <w:rPr>
          <w:sz w:val="24"/>
        </w:rPr>
        <w:t xml:space="preserve">Applicants must hold the </w:t>
      </w:r>
      <w:r w:rsidRPr="00C924C8">
        <w:rPr>
          <w:sz w:val="24"/>
        </w:rPr>
        <w:t>SQM or the Lexcel Practice Management Standard</w:t>
      </w:r>
      <w:r w:rsidR="00333618">
        <w:rPr>
          <w:sz w:val="24"/>
        </w:rPr>
        <w:t>.</w:t>
      </w:r>
    </w:p>
    <w:p w14:paraId="759C3AB1" w14:textId="77777777" w:rsidR="0054794A" w:rsidRPr="003F02FE" w:rsidRDefault="0054794A" w:rsidP="0054794A">
      <w:pPr>
        <w:rPr>
          <w:sz w:val="24"/>
        </w:rPr>
      </w:pPr>
      <w:r>
        <w:rPr>
          <w:sz w:val="24"/>
        </w:rPr>
        <w:t>The paper elsewhere also states that a</w:t>
      </w:r>
      <w:r w:rsidRPr="003F02FE">
        <w:rPr>
          <w:sz w:val="24"/>
        </w:rPr>
        <w:t>uthorisation to practice from a relevant professional body (e.g. the SRA)</w:t>
      </w:r>
      <w:r>
        <w:rPr>
          <w:sz w:val="24"/>
        </w:rPr>
        <w:t xml:space="preserve"> must be achieved.</w:t>
      </w:r>
    </w:p>
    <w:p w14:paraId="0584A0C0" w14:textId="77777777" w:rsidR="0054794A" w:rsidRPr="00B04394" w:rsidRDefault="0054794A" w:rsidP="0054794A">
      <w:pPr>
        <w:rPr>
          <w:sz w:val="24"/>
        </w:rPr>
      </w:pPr>
      <w:r>
        <w:rPr>
          <w:sz w:val="24"/>
        </w:rPr>
        <w:t>Applicants must provide evidence of the above 6 weeks before the contract start date.</w:t>
      </w:r>
    </w:p>
    <w:p w14:paraId="4C179062" w14:textId="77777777" w:rsidR="0054794A" w:rsidRDefault="0054794A" w:rsidP="0054794A">
      <w:pPr>
        <w:rPr>
          <w:i/>
          <w:sz w:val="24"/>
        </w:rPr>
      </w:pPr>
    </w:p>
    <w:p w14:paraId="3F0AE701" w14:textId="77777777" w:rsidR="0054794A" w:rsidRPr="003F02FE" w:rsidRDefault="0054794A" w:rsidP="0054794A">
      <w:pPr>
        <w:rPr>
          <w:i/>
          <w:sz w:val="24"/>
        </w:rPr>
      </w:pPr>
      <w:r>
        <w:rPr>
          <w:i/>
          <w:sz w:val="24"/>
        </w:rPr>
        <w:t xml:space="preserve">Basic Supervisor </w:t>
      </w:r>
      <w:r w:rsidRPr="003F02FE">
        <w:rPr>
          <w:i/>
          <w:sz w:val="24"/>
        </w:rPr>
        <w:t>Requirements</w:t>
      </w:r>
    </w:p>
    <w:p w14:paraId="204CDE51" w14:textId="7A2A86B0" w:rsidR="0054794A" w:rsidRDefault="0054794A" w:rsidP="0054794A">
      <w:pPr>
        <w:rPr>
          <w:sz w:val="24"/>
        </w:rPr>
      </w:pPr>
      <w:r>
        <w:rPr>
          <w:sz w:val="24"/>
        </w:rPr>
        <w:t xml:space="preserve">Generally, an individual supervisor is not allowed to supervise more than two offices. For </w:t>
      </w:r>
      <w:r w:rsidR="00333618">
        <w:rPr>
          <w:sz w:val="24"/>
        </w:rPr>
        <w:t>Mental Health</w:t>
      </w:r>
      <w:r>
        <w:rPr>
          <w:sz w:val="24"/>
        </w:rPr>
        <w:t xml:space="preserve">, a supervisor may not supervise across more than 2 procurement areas. For </w:t>
      </w:r>
      <w:r w:rsidR="00333618">
        <w:rPr>
          <w:sz w:val="24"/>
        </w:rPr>
        <w:t xml:space="preserve">Family </w:t>
      </w:r>
      <w:r>
        <w:rPr>
          <w:sz w:val="24"/>
        </w:rPr>
        <w:t>Mediation, there is no limit on the number of offices supervised.</w:t>
      </w:r>
    </w:p>
    <w:p w14:paraId="3FF991CF" w14:textId="77777777" w:rsidR="0054794A" w:rsidRDefault="0054794A" w:rsidP="0054794A">
      <w:pPr>
        <w:rPr>
          <w:i/>
          <w:sz w:val="24"/>
        </w:rPr>
      </w:pPr>
    </w:p>
    <w:p w14:paraId="645B7782" w14:textId="77777777" w:rsidR="0054794A" w:rsidRPr="00D25C87" w:rsidRDefault="0054794A" w:rsidP="0054794A">
      <w:pPr>
        <w:rPr>
          <w:i/>
          <w:sz w:val="24"/>
        </w:rPr>
      </w:pPr>
      <w:r w:rsidRPr="00D25C87">
        <w:rPr>
          <w:i/>
          <w:sz w:val="24"/>
        </w:rPr>
        <w:t>Category Specific Requirements</w:t>
      </w:r>
    </w:p>
    <w:p w14:paraId="240490BE" w14:textId="77777777" w:rsidR="0054794A" w:rsidRDefault="0054794A" w:rsidP="0054794A">
      <w:pPr>
        <w:rPr>
          <w:sz w:val="24"/>
        </w:rPr>
      </w:pPr>
      <w:r>
        <w:rPr>
          <w:sz w:val="24"/>
        </w:rPr>
        <w:t xml:space="preserve">Requirements covering offices, authorised litigators, accreditation, delivery plans and supervision arrangements are covered in various areas in this section. These are summarised in the box below. </w:t>
      </w:r>
    </w:p>
    <w:p w14:paraId="5E318CAF" w14:textId="77777777" w:rsidR="0054794A" w:rsidRDefault="0054794A" w:rsidP="0054794A">
      <w:pPr>
        <w:rPr>
          <w:sz w:val="24"/>
        </w:rPr>
      </w:pPr>
    </w:p>
    <w:p w14:paraId="2DEEF03D" w14:textId="77777777" w:rsidR="0054794A" w:rsidRDefault="0054794A" w:rsidP="0054794A">
      <w:pPr>
        <w:rPr>
          <w:sz w:val="24"/>
        </w:rPr>
      </w:pPr>
    </w:p>
    <w:p w14:paraId="428325C2" w14:textId="77777777" w:rsidR="00E03C15" w:rsidRDefault="00E03C15" w:rsidP="0054794A">
      <w:pPr>
        <w:rPr>
          <w:sz w:val="24"/>
        </w:rPr>
      </w:pPr>
    </w:p>
    <w:p w14:paraId="3C4C55E6" w14:textId="77777777" w:rsidR="0054794A" w:rsidRDefault="0054794A" w:rsidP="0054794A">
      <w:pPr>
        <w:rPr>
          <w:sz w:val="24"/>
        </w:rPr>
      </w:pPr>
    </w:p>
    <w:p w14:paraId="57882AE6" w14:textId="77777777" w:rsidR="0054794A" w:rsidRDefault="0054794A" w:rsidP="00CD1E22">
      <w:pPr>
        <w:rPr>
          <w:b/>
          <w:sz w:val="24"/>
        </w:rPr>
      </w:pPr>
      <w:r w:rsidRPr="00C924C8">
        <w:rPr>
          <w:b/>
          <w:sz w:val="24"/>
        </w:rPr>
        <w:lastRenderedPageBreak/>
        <w:t>Category specific requirements</w:t>
      </w:r>
    </w:p>
    <w:p w14:paraId="1DE2AB4C" w14:textId="77777777" w:rsidR="00CD1E22" w:rsidRPr="00C924C8" w:rsidRDefault="00CD1E22" w:rsidP="00CD1E22">
      <w:pPr>
        <w:rPr>
          <w:b/>
          <w:sz w:val="24"/>
        </w:rPr>
      </w:pPr>
    </w:p>
    <w:tbl>
      <w:tblPr>
        <w:tblStyle w:val="TableGrid"/>
        <w:tblW w:w="0" w:type="auto"/>
        <w:tblLook w:val="04A0" w:firstRow="1" w:lastRow="0" w:firstColumn="1" w:lastColumn="0" w:noHBand="0" w:noVBand="1"/>
      </w:tblPr>
      <w:tblGrid>
        <w:gridCol w:w="1696"/>
        <w:gridCol w:w="3261"/>
        <w:gridCol w:w="1984"/>
        <w:gridCol w:w="2721"/>
        <w:gridCol w:w="2524"/>
        <w:gridCol w:w="1659"/>
      </w:tblGrid>
      <w:tr w:rsidR="0054794A" w:rsidRPr="00F03A38" w14:paraId="24573A71" w14:textId="77777777" w:rsidTr="009A4F21">
        <w:trPr>
          <w:tblHeader/>
        </w:trPr>
        <w:tc>
          <w:tcPr>
            <w:tcW w:w="1696" w:type="dxa"/>
            <w:shd w:val="clear" w:color="auto" w:fill="B8CCE4" w:themeFill="accent1" w:themeFillTint="66"/>
          </w:tcPr>
          <w:p w14:paraId="1BD2521C" w14:textId="77777777" w:rsidR="0054794A" w:rsidRPr="00F03A38" w:rsidRDefault="0054794A" w:rsidP="009A4F21">
            <w:r w:rsidRPr="00F03A38">
              <w:t>Category</w:t>
            </w:r>
          </w:p>
        </w:tc>
        <w:tc>
          <w:tcPr>
            <w:tcW w:w="3261" w:type="dxa"/>
            <w:shd w:val="clear" w:color="auto" w:fill="B8CCE4" w:themeFill="accent1" w:themeFillTint="66"/>
          </w:tcPr>
          <w:p w14:paraId="6EA4CB4B" w14:textId="77777777" w:rsidR="0054794A" w:rsidRPr="00F03A38" w:rsidRDefault="0054794A" w:rsidP="009A4F21">
            <w:r w:rsidRPr="00F03A38">
              <w:t>Office</w:t>
            </w:r>
          </w:p>
        </w:tc>
        <w:tc>
          <w:tcPr>
            <w:tcW w:w="1984" w:type="dxa"/>
            <w:shd w:val="clear" w:color="auto" w:fill="B8CCE4" w:themeFill="accent1" w:themeFillTint="66"/>
          </w:tcPr>
          <w:p w14:paraId="4317F541" w14:textId="77777777" w:rsidR="0054794A" w:rsidRPr="00F03A38" w:rsidRDefault="0054794A" w:rsidP="009A4F21">
            <w:r w:rsidRPr="00F03A38">
              <w:t>Authorised Litigator (AL)</w:t>
            </w:r>
          </w:p>
        </w:tc>
        <w:tc>
          <w:tcPr>
            <w:tcW w:w="2721" w:type="dxa"/>
            <w:shd w:val="clear" w:color="auto" w:fill="B8CCE4" w:themeFill="accent1" w:themeFillTint="66"/>
          </w:tcPr>
          <w:p w14:paraId="0928A5F1" w14:textId="77777777" w:rsidR="0054794A" w:rsidRPr="00F03A38" w:rsidRDefault="0054794A" w:rsidP="009A4F21">
            <w:r w:rsidRPr="00F03A38">
              <w:t>Accreditation</w:t>
            </w:r>
          </w:p>
        </w:tc>
        <w:tc>
          <w:tcPr>
            <w:tcW w:w="2524" w:type="dxa"/>
            <w:shd w:val="clear" w:color="auto" w:fill="B8CCE4" w:themeFill="accent1" w:themeFillTint="66"/>
          </w:tcPr>
          <w:p w14:paraId="7772D488" w14:textId="77777777" w:rsidR="0054794A" w:rsidRPr="00F03A38" w:rsidRDefault="0054794A" w:rsidP="009A4F21">
            <w:r w:rsidRPr="00F03A38">
              <w:t>Delivery Plan required?</w:t>
            </w:r>
          </w:p>
        </w:tc>
        <w:tc>
          <w:tcPr>
            <w:tcW w:w="1659" w:type="dxa"/>
            <w:shd w:val="clear" w:color="auto" w:fill="B8CCE4" w:themeFill="accent1" w:themeFillTint="66"/>
          </w:tcPr>
          <w:p w14:paraId="0B505846" w14:textId="77777777" w:rsidR="0054794A" w:rsidRPr="00F03A38" w:rsidRDefault="0054794A" w:rsidP="009A4F21">
            <w:r w:rsidRPr="00F03A38">
              <w:t>Supervisor Rules</w:t>
            </w:r>
          </w:p>
        </w:tc>
      </w:tr>
      <w:tr w:rsidR="0054794A" w:rsidRPr="00F03A38" w14:paraId="0BD7F548" w14:textId="77777777" w:rsidTr="009A4F21">
        <w:tc>
          <w:tcPr>
            <w:tcW w:w="1696" w:type="dxa"/>
          </w:tcPr>
          <w:p w14:paraId="4169BFB1" w14:textId="77777777" w:rsidR="0054794A" w:rsidRPr="00F03A38" w:rsidRDefault="0054794A" w:rsidP="009A4F21">
            <w:r w:rsidRPr="00F03A38">
              <w:t>Family</w:t>
            </w:r>
          </w:p>
        </w:tc>
        <w:tc>
          <w:tcPr>
            <w:tcW w:w="3261" w:type="dxa"/>
          </w:tcPr>
          <w:p w14:paraId="10EBBD73" w14:textId="77777777" w:rsidR="0054794A" w:rsidRPr="00F03A38" w:rsidRDefault="0054794A" w:rsidP="009A4F21">
            <w:r w:rsidRPr="00F03A38">
              <w:t>Permanent presence for each office</w:t>
            </w:r>
          </w:p>
        </w:tc>
        <w:tc>
          <w:tcPr>
            <w:tcW w:w="1984" w:type="dxa"/>
          </w:tcPr>
          <w:p w14:paraId="3ECF9794" w14:textId="77777777" w:rsidR="0054794A" w:rsidRPr="00F03A38" w:rsidRDefault="0054794A" w:rsidP="009A4F21">
            <w:r w:rsidRPr="00F03A38">
              <w:t>NA but given that most family work is reserved an AL is necessary in practice</w:t>
            </w:r>
          </w:p>
        </w:tc>
        <w:tc>
          <w:tcPr>
            <w:tcW w:w="2721" w:type="dxa"/>
          </w:tcPr>
          <w:p w14:paraId="3CF6E873" w14:textId="77777777" w:rsidR="0054794A" w:rsidRPr="00F03A38" w:rsidRDefault="0054794A" w:rsidP="009A4F21">
            <w:r w:rsidRPr="00F03A38">
              <w:t>If bidding for Lot 3, must have a member of staff on the Children Panel or Advanced Family Panel or a Resolution Accredited Specialist in Domestic Abuse</w:t>
            </w:r>
          </w:p>
          <w:p w14:paraId="67405BE4" w14:textId="77777777" w:rsidR="0054794A" w:rsidRPr="00F03A38" w:rsidRDefault="0054794A" w:rsidP="009A4F21"/>
        </w:tc>
        <w:tc>
          <w:tcPr>
            <w:tcW w:w="2524" w:type="dxa"/>
          </w:tcPr>
          <w:p w14:paraId="2B122B0C" w14:textId="77777777" w:rsidR="0054794A" w:rsidRPr="00F03A38" w:rsidRDefault="0054794A" w:rsidP="009A4F21">
            <w:r w:rsidRPr="00F03A38">
              <w:t>If bidding for above Lot 3 where the applicant has not delivered the same level of matter starts in the last 12 months</w:t>
            </w:r>
          </w:p>
        </w:tc>
        <w:tc>
          <w:tcPr>
            <w:tcW w:w="1659" w:type="dxa"/>
          </w:tcPr>
          <w:p w14:paraId="730A3071" w14:textId="77777777" w:rsidR="0054794A" w:rsidRPr="00F03A38" w:rsidRDefault="0054794A" w:rsidP="009A4F21">
            <w:r w:rsidRPr="00F03A38">
              <w:t>Employ 1 FTE</w:t>
            </w:r>
          </w:p>
          <w:p w14:paraId="68F14B05" w14:textId="77777777" w:rsidR="0054794A" w:rsidRPr="00F03A38" w:rsidRDefault="0054794A" w:rsidP="009A4F21">
            <w:r w:rsidRPr="00F03A38">
              <w:t>1:4 ratio</w:t>
            </w:r>
          </w:p>
        </w:tc>
      </w:tr>
      <w:tr w:rsidR="0054794A" w:rsidRPr="00F03A38" w14:paraId="19D4FF61" w14:textId="77777777" w:rsidTr="009A4F21">
        <w:tc>
          <w:tcPr>
            <w:tcW w:w="1696" w:type="dxa"/>
          </w:tcPr>
          <w:p w14:paraId="76E9854C" w14:textId="77777777" w:rsidR="0054794A" w:rsidRPr="00F03A38" w:rsidRDefault="0054794A" w:rsidP="009A4F21">
            <w:r w:rsidRPr="00F03A38">
              <w:t xml:space="preserve">Housing &amp; Debt </w:t>
            </w:r>
          </w:p>
        </w:tc>
        <w:tc>
          <w:tcPr>
            <w:tcW w:w="3261" w:type="dxa"/>
          </w:tcPr>
          <w:p w14:paraId="77ABB303" w14:textId="77777777" w:rsidR="0054794A" w:rsidRPr="00F03A38" w:rsidRDefault="0054794A" w:rsidP="009A4F21">
            <w:r w:rsidRPr="00F03A38">
              <w:t>Permanent presence for each office</w:t>
            </w:r>
          </w:p>
        </w:tc>
        <w:tc>
          <w:tcPr>
            <w:tcW w:w="1984" w:type="dxa"/>
          </w:tcPr>
          <w:p w14:paraId="10FF646B" w14:textId="77777777" w:rsidR="0054794A" w:rsidRPr="00F03A38" w:rsidRDefault="0054794A" w:rsidP="009A4F21">
            <w:r w:rsidRPr="00F03A38">
              <w:t>At least one Part Time Equivalent AL across the organisation or one per office if bidding for Lot 2 or above</w:t>
            </w:r>
          </w:p>
          <w:p w14:paraId="30BC06C2" w14:textId="77777777" w:rsidR="0054794A" w:rsidRPr="00F03A38" w:rsidRDefault="0054794A" w:rsidP="009A4F21"/>
        </w:tc>
        <w:tc>
          <w:tcPr>
            <w:tcW w:w="2721" w:type="dxa"/>
          </w:tcPr>
          <w:p w14:paraId="385C088F" w14:textId="77777777" w:rsidR="0054794A" w:rsidRPr="00F03A38" w:rsidRDefault="0054794A" w:rsidP="009A4F21">
            <w:r w:rsidRPr="00F03A38">
              <w:t>NA</w:t>
            </w:r>
          </w:p>
        </w:tc>
        <w:tc>
          <w:tcPr>
            <w:tcW w:w="2524" w:type="dxa"/>
          </w:tcPr>
          <w:p w14:paraId="3DC125C0" w14:textId="77777777" w:rsidR="0054794A" w:rsidRPr="00F03A38" w:rsidRDefault="0054794A" w:rsidP="009A4F21">
            <w:r w:rsidRPr="00F03A38">
              <w:t>If bidding for above Lot 2 where the applicant has not delivered the same level of matter starts in the last 12 months</w:t>
            </w:r>
          </w:p>
        </w:tc>
        <w:tc>
          <w:tcPr>
            <w:tcW w:w="1659" w:type="dxa"/>
          </w:tcPr>
          <w:p w14:paraId="35D1FB63" w14:textId="77777777" w:rsidR="0054794A" w:rsidRPr="00F03A38" w:rsidRDefault="0054794A" w:rsidP="009A4F21">
            <w:r w:rsidRPr="00F03A38">
              <w:t>Employ 1 FTE</w:t>
            </w:r>
          </w:p>
          <w:p w14:paraId="53A5C720" w14:textId="77777777" w:rsidR="0054794A" w:rsidRPr="00F03A38" w:rsidRDefault="0054794A" w:rsidP="009A4F21">
            <w:r w:rsidRPr="00F03A38">
              <w:t>1:4 ratio</w:t>
            </w:r>
          </w:p>
        </w:tc>
      </w:tr>
      <w:tr w:rsidR="0054794A" w:rsidRPr="00F03A38" w14:paraId="69E09033" w14:textId="77777777" w:rsidTr="009A4F21">
        <w:tc>
          <w:tcPr>
            <w:tcW w:w="1696" w:type="dxa"/>
          </w:tcPr>
          <w:p w14:paraId="1B55DD2B" w14:textId="77777777" w:rsidR="0054794A" w:rsidRPr="00F03A38" w:rsidRDefault="0054794A" w:rsidP="009A4F21">
            <w:r w:rsidRPr="00F03A38">
              <w:t>Welfare Benefits</w:t>
            </w:r>
          </w:p>
          <w:p w14:paraId="4812858D" w14:textId="77777777" w:rsidR="0054794A" w:rsidRPr="00F03A38" w:rsidRDefault="0054794A" w:rsidP="009A4F21"/>
          <w:p w14:paraId="099A3E47" w14:textId="77777777" w:rsidR="0054794A" w:rsidRPr="00F03A38" w:rsidRDefault="0054794A" w:rsidP="009A4F21">
            <w:r w:rsidRPr="00F03A38">
              <w:t>(Note that a Housing &amp; Debt contract must be sought in order to bid for Welfare Benefits)</w:t>
            </w:r>
          </w:p>
          <w:p w14:paraId="7D53EB47" w14:textId="77777777" w:rsidR="0054794A" w:rsidRDefault="0054794A" w:rsidP="009A4F21"/>
          <w:p w14:paraId="1775F98F" w14:textId="77777777" w:rsidR="00CD1E22" w:rsidRDefault="00CD1E22" w:rsidP="009A4F21"/>
          <w:p w14:paraId="23F392AE" w14:textId="77777777" w:rsidR="00CD1E22" w:rsidRDefault="00CD1E22" w:rsidP="009A4F21"/>
          <w:p w14:paraId="524EEBBC" w14:textId="77777777" w:rsidR="00CD1E22" w:rsidRPr="00F03A38" w:rsidRDefault="00CD1E22" w:rsidP="009A4F21"/>
        </w:tc>
        <w:tc>
          <w:tcPr>
            <w:tcW w:w="3261" w:type="dxa"/>
          </w:tcPr>
          <w:p w14:paraId="38B672EC" w14:textId="77777777" w:rsidR="0054794A" w:rsidRPr="00F03A38" w:rsidRDefault="0054794A" w:rsidP="009A4F21">
            <w:r w:rsidRPr="00F03A38">
              <w:t>Each Office must be a Permanent Presence</w:t>
            </w:r>
          </w:p>
        </w:tc>
        <w:tc>
          <w:tcPr>
            <w:tcW w:w="1984" w:type="dxa"/>
          </w:tcPr>
          <w:p w14:paraId="4A63A997" w14:textId="77777777" w:rsidR="0054794A" w:rsidRPr="00F03A38" w:rsidRDefault="0054794A" w:rsidP="009A4F21">
            <w:r w:rsidRPr="00F03A38">
              <w:t>Must have access at all times to an AL with experience of WB</w:t>
            </w:r>
          </w:p>
        </w:tc>
        <w:tc>
          <w:tcPr>
            <w:tcW w:w="2721" w:type="dxa"/>
          </w:tcPr>
          <w:p w14:paraId="6C6DE83C" w14:textId="77777777" w:rsidR="0054794A" w:rsidRPr="00F03A38" w:rsidRDefault="0054794A" w:rsidP="009A4F21">
            <w:r w:rsidRPr="00F03A38">
              <w:t>NA</w:t>
            </w:r>
          </w:p>
        </w:tc>
        <w:tc>
          <w:tcPr>
            <w:tcW w:w="2524" w:type="dxa"/>
          </w:tcPr>
          <w:p w14:paraId="4F733298" w14:textId="77777777" w:rsidR="0054794A" w:rsidRPr="00F03A38" w:rsidRDefault="0054794A" w:rsidP="009A4F21">
            <w:r w:rsidRPr="00F03A38">
              <w:t>If bidding for more than 250 matter starts where the applicant has not delivered the same level of matter starts in the last 12 months</w:t>
            </w:r>
          </w:p>
          <w:p w14:paraId="1168C12C" w14:textId="77777777" w:rsidR="0054794A" w:rsidRPr="00F03A38" w:rsidRDefault="0054794A" w:rsidP="009A4F21"/>
        </w:tc>
        <w:tc>
          <w:tcPr>
            <w:tcW w:w="1659" w:type="dxa"/>
          </w:tcPr>
          <w:p w14:paraId="7AC76130" w14:textId="77777777" w:rsidR="0054794A" w:rsidRPr="00F03A38" w:rsidRDefault="0054794A" w:rsidP="009A4F21">
            <w:r w:rsidRPr="00F03A38">
              <w:t>Employ 1 PTE</w:t>
            </w:r>
          </w:p>
          <w:p w14:paraId="4DE87515" w14:textId="77777777" w:rsidR="0054794A" w:rsidRPr="00F03A38" w:rsidRDefault="0054794A" w:rsidP="009A4F21">
            <w:r w:rsidRPr="00F03A38">
              <w:t>1:2 ratio</w:t>
            </w:r>
          </w:p>
        </w:tc>
      </w:tr>
      <w:tr w:rsidR="0054794A" w:rsidRPr="00F03A38" w14:paraId="1E55378D" w14:textId="77777777" w:rsidTr="009A4F21">
        <w:tc>
          <w:tcPr>
            <w:tcW w:w="1696" w:type="dxa"/>
          </w:tcPr>
          <w:p w14:paraId="6708F21B" w14:textId="77777777" w:rsidR="0054794A" w:rsidRPr="00F03A38" w:rsidRDefault="0054794A" w:rsidP="009A4F21">
            <w:r w:rsidRPr="00F03A38">
              <w:lastRenderedPageBreak/>
              <w:t>Immigration &amp; Asylum</w:t>
            </w:r>
          </w:p>
        </w:tc>
        <w:tc>
          <w:tcPr>
            <w:tcW w:w="3261" w:type="dxa"/>
          </w:tcPr>
          <w:p w14:paraId="5D3CE021" w14:textId="77777777" w:rsidR="0054794A" w:rsidRPr="00F03A38" w:rsidRDefault="0054794A" w:rsidP="009A4F21">
            <w:r w:rsidRPr="00F03A38">
              <w:t xml:space="preserve">For each Procurement Area in which it tenders, the Applicant must have an Office in an Access Point which is a Permanent Presence. They may additionally deliver services from further locations in the wider </w:t>
            </w:r>
          </w:p>
          <w:p w14:paraId="036F4887" w14:textId="77777777" w:rsidR="0054794A" w:rsidRPr="00F03A38" w:rsidRDefault="0054794A" w:rsidP="009A4F21">
            <w:r w:rsidRPr="00F03A38">
              <w:t>Procurement Area which are either a Part Time Presence or a Permanent Presence</w:t>
            </w:r>
          </w:p>
          <w:p w14:paraId="5F3E2427" w14:textId="77777777" w:rsidR="0054794A" w:rsidRPr="00F03A38" w:rsidRDefault="0054794A" w:rsidP="009A4F21"/>
        </w:tc>
        <w:tc>
          <w:tcPr>
            <w:tcW w:w="1984" w:type="dxa"/>
          </w:tcPr>
          <w:p w14:paraId="6DFDE673" w14:textId="77777777" w:rsidR="0054794A" w:rsidRPr="00F03A38" w:rsidRDefault="0054794A" w:rsidP="009A4F21">
            <w:r w:rsidRPr="00F03A38">
              <w:t>No</w:t>
            </w:r>
            <w:r>
              <w:t xml:space="preserve">t for Lot 1. </w:t>
            </w:r>
            <w:r>
              <w:br/>
              <w:t>But a AL would be necessary for Lots 2 &amp; 3</w:t>
            </w:r>
          </w:p>
        </w:tc>
        <w:tc>
          <w:tcPr>
            <w:tcW w:w="2721" w:type="dxa"/>
          </w:tcPr>
          <w:p w14:paraId="407EB467" w14:textId="77777777" w:rsidR="0054794A" w:rsidRPr="00F03A38" w:rsidRDefault="0054794A" w:rsidP="009A4F21">
            <w:r w:rsidRPr="00F03A38">
              <w:t>If bidding for Lot 3 or above Lot 3, an advanced (Level 3) caseworker must be employed.</w:t>
            </w:r>
          </w:p>
        </w:tc>
        <w:tc>
          <w:tcPr>
            <w:tcW w:w="2524" w:type="dxa"/>
          </w:tcPr>
          <w:p w14:paraId="57DB992D" w14:textId="77777777" w:rsidR="0054794A" w:rsidRPr="00F03A38" w:rsidRDefault="0054794A" w:rsidP="009A4F21">
            <w:r w:rsidRPr="00F03A38">
              <w:t>If bidding for more than 300 matter starts where the applicant has not delivered the same level of matter starts in the last 12 months</w:t>
            </w:r>
          </w:p>
        </w:tc>
        <w:tc>
          <w:tcPr>
            <w:tcW w:w="1659" w:type="dxa"/>
          </w:tcPr>
          <w:p w14:paraId="1E90314F" w14:textId="77777777" w:rsidR="0054794A" w:rsidRPr="00F03A38" w:rsidRDefault="0054794A" w:rsidP="009A4F21">
            <w:r w:rsidRPr="00F03A38">
              <w:t>Employ 1 FTE</w:t>
            </w:r>
          </w:p>
          <w:p w14:paraId="1CC07500" w14:textId="77777777" w:rsidR="0054794A" w:rsidRPr="00F03A38" w:rsidRDefault="0054794A" w:rsidP="009A4F21">
            <w:r w:rsidRPr="00F03A38">
              <w:t>1:4 ratio</w:t>
            </w:r>
          </w:p>
        </w:tc>
      </w:tr>
      <w:tr w:rsidR="0054794A" w:rsidRPr="00F03A38" w14:paraId="507E68A4" w14:textId="77777777" w:rsidTr="009A4F21">
        <w:tc>
          <w:tcPr>
            <w:tcW w:w="1696" w:type="dxa"/>
          </w:tcPr>
          <w:p w14:paraId="4640D8B1" w14:textId="77777777" w:rsidR="0054794A" w:rsidRPr="00F03A38" w:rsidRDefault="0054794A" w:rsidP="009A4F21">
            <w:r w:rsidRPr="00F03A38">
              <w:t>Mental Health</w:t>
            </w:r>
          </w:p>
        </w:tc>
        <w:tc>
          <w:tcPr>
            <w:tcW w:w="3261" w:type="dxa"/>
          </w:tcPr>
          <w:p w14:paraId="40C5C82E" w14:textId="77777777" w:rsidR="0054794A" w:rsidRPr="00F03A38" w:rsidRDefault="0054794A" w:rsidP="009A4F21">
            <w:r w:rsidRPr="00F03A38">
              <w:t>The Applicant must tender to deliver Mental Health Contract Work from an Office which is a Permanent Presence in England and/or Wales. Applicants do not need an Office which is a Permanent Presence in each Procurement Area but must have at least one Office which is either a Permanent Presence or an Alternative Arrangement in each Procurement Area in which they deliver Mental Health Contract Work</w:t>
            </w:r>
          </w:p>
          <w:p w14:paraId="7E9D6A4B" w14:textId="77777777" w:rsidR="0054794A" w:rsidRPr="00F03A38" w:rsidRDefault="0054794A" w:rsidP="009A4F21"/>
        </w:tc>
        <w:tc>
          <w:tcPr>
            <w:tcW w:w="1984" w:type="dxa"/>
          </w:tcPr>
          <w:p w14:paraId="7803BA6D" w14:textId="77777777" w:rsidR="0054794A" w:rsidRPr="00F03A38" w:rsidRDefault="0054794A" w:rsidP="009A4F21">
            <w:r w:rsidRPr="00F03A38">
              <w:t>Yes, an AL is required with experience of MH work for each of the areas it is bidding for</w:t>
            </w:r>
          </w:p>
        </w:tc>
        <w:tc>
          <w:tcPr>
            <w:tcW w:w="2721" w:type="dxa"/>
          </w:tcPr>
          <w:p w14:paraId="4213D91D" w14:textId="77777777" w:rsidR="0054794A" w:rsidRPr="00F03A38" w:rsidRDefault="0054794A" w:rsidP="009A4F21">
            <w:r w:rsidRPr="00F03A38">
              <w:t>At least 1 FTE accredited member for each area it is bidding for Lot 1.</w:t>
            </w:r>
          </w:p>
          <w:p w14:paraId="0E7D0E92" w14:textId="77777777" w:rsidR="0054794A" w:rsidRPr="00F03A38" w:rsidRDefault="0054794A" w:rsidP="009A4F21"/>
          <w:p w14:paraId="6EA4B321" w14:textId="77777777" w:rsidR="0054794A" w:rsidRPr="00F03A38" w:rsidRDefault="0054794A" w:rsidP="009A4F21">
            <w:r w:rsidRPr="00F03A38">
              <w:t>For Lot 2, a firm would need at least 2 FTE accredited  members for each area.</w:t>
            </w:r>
          </w:p>
          <w:p w14:paraId="3F78ECC1" w14:textId="77777777" w:rsidR="0054794A" w:rsidRPr="00F03A38" w:rsidRDefault="0054794A" w:rsidP="009A4F21"/>
          <w:p w14:paraId="1D1F7405" w14:textId="4C7DF736" w:rsidR="0054794A" w:rsidRPr="00F03A38" w:rsidRDefault="0054794A" w:rsidP="009A4F21">
            <w:r w:rsidRPr="00F03A38">
              <w:t>For Lot 3, a firm would need at least 3 FTE accredited members for each area.</w:t>
            </w:r>
          </w:p>
          <w:p w14:paraId="5AB2975E" w14:textId="77777777" w:rsidR="0054794A" w:rsidRPr="00F03A38" w:rsidRDefault="0054794A" w:rsidP="009A4F21"/>
          <w:p w14:paraId="1065C9CB" w14:textId="77777777" w:rsidR="0054794A" w:rsidRPr="00F03A38" w:rsidRDefault="0054794A" w:rsidP="009A4F21">
            <w:r w:rsidRPr="00F03A38">
              <w:t>If bidding above lot 3, must have at least 4 FTE members of the MH accreditation scheme</w:t>
            </w:r>
          </w:p>
          <w:p w14:paraId="2BFB1FA7" w14:textId="77777777" w:rsidR="0054794A" w:rsidRDefault="0054794A" w:rsidP="009A4F21"/>
          <w:p w14:paraId="5BFA1844" w14:textId="77777777" w:rsidR="00CD1E22" w:rsidRDefault="00CD1E22" w:rsidP="009A4F21"/>
          <w:p w14:paraId="2481D74D" w14:textId="77777777" w:rsidR="00CD1E22" w:rsidRDefault="00CD1E22" w:rsidP="009A4F21"/>
          <w:p w14:paraId="242D5C59" w14:textId="77777777" w:rsidR="00CD1E22" w:rsidRPr="00F03A38" w:rsidRDefault="00CD1E22" w:rsidP="009A4F21"/>
        </w:tc>
        <w:tc>
          <w:tcPr>
            <w:tcW w:w="2524" w:type="dxa"/>
          </w:tcPr>
          <w:p w14:paraId="7B3C7EB9" w14:textId="77777777" w:rsidR="0054794A" w:rsidRPr="00F03A38" w:rsidRDefault="0054794A" w:rsidP="009A4F21">
            <w:r w:rsidRPr="00F03A38">
              <w:t>If bidding above Lot 3 (more than 500 matter starts) where the applicant has not delivered the same level of matter starts in the last 12 months</w:t>
            </w:r>
          </w:p>
        </w:tc>
        <w:tc>
          <w:tcPr>
            <w:tcW w:w="1659" w:type="dxa"/>
          </w:tcPr>
          <w:p w14:paraId="5AD6687B" w14:textId="77777777" w:rsidR="0054794A" w:rsidRPr="00F03A38" w:rsidRDefault="0054794A" w:rsidP="009A4F21">
            <w:r w:rsidRPr="00F03A38">
              <w:t>Employ 1 FTE</w:t>
            </w:r>
          </w:p>
          <w:p w14:paraId="6E731876" w14:textId="77777777" w:rsidR="0054794A" w:rsidRPr="00F03A38" w:rsidRDefault="0054794A" w:rsidP="009A4F21">
            <w:r w:rsidRPr="00F03A38">
              <w:t>1:4 ratio</w:t>
            </w:r>
          </w:p>
        </w:tc>
      </w:tr>
      <w:tr w:rsidR="0054794A" w:rsidRPr="00F03A38" w14:paraId="37571E73" w14:textId="77777777" w:rsidTr="009A4F21">
        <w:tc>
          <w:tcPr>
            <w:tcW w:w="1696" w:type="dxa"/>
          </w:tcPr>
          <w:p w14:paraId="1C814C7F" w14:textId="1781B467" w:rsidR="0054794A" w:rsidRPr="00F03A38" w:rsidRDefault="0054794A" w:rsidP="009A4F21">
            <w:r w:rsidRPr="00F03A38">
              <w:lastRenderedPageBreak/>
              <w:t>Comm</w:t>
            </w:r>
            <w:r w:rsidR="00333618">
              <w:t>unity</w:t>
            </w:r>
            <w:r w:rsidRPr="00F03A38">
              <w:t xml:space="preserve"> Care</w:t>
            </w:r>
          </w:p>
        </w:tc>
        <w:tc>
          <w:tcPr>
            <w:tcW w:w="3261" w:type="dxa"/>
          </w:tcPr>
          <w:p w14:paraId="276073B6" w14:textId="77777777" w:rsidR="0054794A" w:rsidRPr="00F03A38" w:rsidRDefault="0054794A" w:rsidP="009A4F21">
            <w:r w:rsidRPr="00F03A38">
              <w:t>Each Office must be a Permanent Presence</w:t>
            </w:r>
          </w:p>
        </w:tc>
        <w:tc>
          <w:tcPr>
            <w:tcW w:w="1984" w:type="dxa"/>
          </w:tcPr>
          <w:p w14:paraId="3A43E336" w14:textId="77777777" w:rsidR="0054794A" w:rsidRPr="00F03A38" w:rsidRDefault="0054794A" w:rsidP="009A4F21">
            <w:r w:rsidRPr="00F03A38">
              <w:t>Yes, a PTE AL is required with experience of CC work for each of the areas it is bidding for</w:t>
            </w:r>
          </w:p>
        </w:tc>
        <w:tc>
          <w:tcPr>
            <w:tcW w:w="2721" w:type="dxa"/>
          </w:tcPr>
          <w:p w14:paraId="59705D24" w14:textId="77777777" w:rsidR="0054794A" w:rsidRPr="00F03A38" w:rsidRDefault="0054794A" w:rsidP="009A4F21">
            <w:r w:rsidRPr="00F03A38">
              <w:t>NA</w:t>
            </w:r>
          </w:p>
        </w:tc>
        <w:tc>
          <w:tcPr>
            <w:tcW w:w="2524" w:type="dxa"/>
          </w:tcPr>
          <w:p w14:paraId="46B215B4" w14:textId="77777777" w:rsidR="0054794A" w:rsidRPr="00F03A38" w:rsidRDefault="0054794A" w:rsidP="009A4F21">
            <w:r w:rsidRPr="00F03A38">
              <w:t>If bidding for more than 100 matter starts where the applicant has not delivered the same level of matter starts in the last 12 months</w:t>
            </w:r>
          </w:p>
          <w:p w14:paraId="38F77C3F" w14:textId="77777777" w:rsidR="0054794A" w:rsidRPr="00F03A38" w:rsidRDefault="0054794A" w:rsidP="009A4F21"/>
        </w:tc>
        <w:tc>
          <w:tcPr>
            <w:tcW w:w="1659" w:type="dxa"/>
          </w:tcPr>
          <w:p w14:paraId="09665F45" w14:textId="77777777" w:rsidR="0054794A" w:rsidRPr="00F03A38" w:rsidRDefault="0054794A" w:rsidP="009A4F21">
            <w:r w:rsidRPr="00F03A38">
              <w:t>Employ 1 FTE</w:t>
            </w:r>
          </w:p>
          <w:p w14:paraId="3761A080" w14:textId="77777777" w:rsidR="0054794A" w:rsidRPr="00F03A38" w:rsidRDefault="0054794A" w:rsidP="009A4F21">
            <w:r w:rsidRPr="00F03A38">
              <w:t>1:4 ratio</w:t>
            </w:r>
          </w:p>
        </w:tc>
      </w:tr>
      <w:tr w:rsidR="0054794A" w:rsidRPr="00F03A38" w14:paraId="52484067" w14:textId="77777777" w:rsidTr="009A4F21">
        <w:tc>
          <w:tcPr>
            <w:tcW w:w="1696" w:type="dxa"/>
          </w:tcPr>
          <w:p w14:paraId="2437F45A" w14:textId="77777777" w:rsidR="0054794A" w:rsidRPr="00F03A38" w:rsidRDefault="0054794A" w:rsidP="009A4F21">
            <w:r w:rsidRPr="00F03A38">
              <w:t>Clinical Negligence</w:t>
            </w:r>
          </w:p>
        </w:tc>
        <w:tc>
          <w:tcPr>
            <w:tcW w:w="3261" w:type="dxa"/>
          </w:tcPr>
          <w:p w14:paraId="11A5DA9E" w14:textId="77777777" w:rsidR="0054794A" w:rsidRPr="00F03A38" w:rsidRDefault="0054794A" w:rsidP="009A4F21">
            <w:r w:rsidRPr="00F03A38">
              <w:t>Each Office must be a Permanent Presence or a Part Time Presence</w:t>
            </w:r>
          </w:p>
          <w:p w14:paraId="22C0A289" w14:textId="77777777" w:rsidR="0054794A" w:rsidRPr="00F03A38" w:rsidRDefault="0054794A" w:rsidP="009A4F21"/>
        </w:tc>
        <w:tc>
          <w:tcPr>
            <w:tcW w:w="1984" w:type="dxa"/>
          </w:tcPr>
          <w:p w14:paraId="53283204" w14:textId="77777777" w:rsidR="0054794A" w:rsidRPr="00F03A38" w:rsidRDefault="0054794A" w:rsidP="009A4F21">
            <w:r w:rsidRPr="00F03A38">
              <w:t>NA</w:t>
            </w:r>
          </w:p>
        </w:tc>
        <w:tc>
          <w:tcPr>
            <w:tcW w:w="2721" w:type="dxa"/>
          </w:tcPr>
          <w:p w14:paraId="4813B1E6" w14:textId="77777777" w:rsidR="0054794A" w:rsidRPr="00F03A38" w:rsidRDefault="0054794A" w:rsidP="009A4F21">
            <w:r w:rsidRPr="00F03A38">
              <w:t>Panel Membership</w:t>
            </w:r>
          </w:p>
        </w:tc>
        <w:tc>
          <w:tcPr>
            <w:tcW w:w="2524" w:type="dxa"/>
          </w:tcPr>
          <w:p w14:paraId="369C945B" w14:textId="77777777" w:rsidR="0054794A" w:rsidRPr="00F03A38" w:rsidRDefault="0054794A" w:rsidP="009A4F21">
            <w:r w:rsidRPr="00F03A38">
              <w:t>NA</w:t>
            </w:r>
          </w:p>
        </w:tc>
        <w:tc>
          <w:tcPr>
            <w:tcW w:w="1659" w:type="dxa"/>
          </w:tcPr>
          <w:p w14:paraId="2FF42BB2" w14:textId="77777777" w:rsidR="0054794A" w:rsidRPr="00F03A38" w:rsidRDefault="0054794A" w:rsidP="009A4F21">
            <w:r w:rsidRPr="00F03A38">
              <w:t>Employ 1 PTE</w:t>
            </w:r>
          </w:p>
          <w:p w14:paraId="453D0DD3" w14:textId="77777777" w:rsidR="0054794A" w:rsidRPr="00F03A38" w:rsidRDefault="0054794A" w:rsidP="009A4F21">
            <w:r w:rsidRPr="00F03A38">
              <w:t>1:2 ratio</w:t>
            </w:r>
          </w:p>
        </w:tc>
      </w:tr>
      <w:tr w:rsidR="0054794A" w:rsidRPr="00F03A38" w14:paraId="10F461D1" w14:textId="77777777" w:rsidTr="009A4F21">
        <w:tc>
          <w:tcPr>
            <w:tcW w:w="1696" w:type="dxa"/>
          </w:tcPr>
          <w:p w14:paraId="38DB86B6" w14:textId="77777777" w:rsidR="0054794A" w:rsidRPr="00F03A38" w:rsidRDefault="0054794A" w:rsidP="009A4F21">
            <w:r w:rsidRPr="00F03A38">
              <w:t>Public Law</w:t>
            </w:r>
          </w:p>
        </w:tc>
        <w:tc>
          <w:tcPr>
            <w:tcW w:w="3261" w:type="dxa"/>
          </w:tcPr>
          <w:p w14:paraId="58CBBF0B" w14:textId="77777777" w:rsidR="0054794A" w:rsidRPr="00F03A38" w:rsidRDefault="0054794A" w:rsidP="009A4F21">
            <w:r w:rsidRPr="00F03A38">
              <w:t>Each Office must be a Permanent Presence or a Part Time Presence</w:t>
            </w:r>
          </w:p>
        </w:tc>
        <w:tc>
          <w:tcPr>
            <w:tcW w:w="1984" w:type="dxa"/>
          </w:tcPr>
          <w:p w14:paraId="1B6CFB6A" w14:textId="65F28877" w:rsidR="0054794A" w:rsidRPr="00F03A38" w:rsidRDefault="0054794A" w:rsidP="009A4F21">
            <w:r w:rsidRPr="00F03A38">
              <w:t>Must employ a PTE AL with experience of PL who is available to each of its offices</w:t>
            </w:r>
          </w:p>
          <w:p w14:paraId="3EF5D2FF" w14:textId="77777777" w:rsidR="0054794A" w:rsidRPr="00F03A38" w:rsidRDefault="0054794A" w:rsidP="009A4F21"/>
        </w:tc>
        <w:tc>
          <w:tcPr>
            <w:tcW w:w="2721" w:type="dxa"/>
          </w:tcPr>
          <w:p w14:paraId="77AC5108" w14:textId="77777777" w:rsidR="0054794A" w:rsidRPr="00F03A38" w:rsidRDefault="0054794A" w:rsidP="009A4F21">
            <w:r w:rsidRPr="00F03A38">
              <w:t>NA</w:t>
            </w:r>
          </w:p>
        </w:tc>
        <w:tc>
          <w:tcPr>
            <w:tcW w:w="2524" w:type="dxa"/>
          </w:tcPr>
          <w:p w14:paraId="28AD9C4A" w14:textId="77777777" w:rsidR="0054794A" w:rsidRPr="00F03A38" w:rsidRDefault="0054794A" w:rsidP="009A4F21">
            <w:r w:rsidRPr="00F03A38">
              <w:t>If bidding for more than 30 matter starts where the applicant has not delivered the same level of matter starts in the last 12 months</w:t>
            </w:r>
          </w:p>
          <w:p w14:paraId="27518A71" w14:textId="77777777" w:rsidR="0054794A" w:rsidRPr="00F03A38" w:rsidRDefault="0054794A" w:rsidP="009A4F21"/>
        </w:tc>
        <w:tc>
          <w:tcPr>
            <w:tcW w:w="1659" w:type="dxa"/>
          </w:tcPr>
          <w:p w14:paraId="7E38D66E" w14:textId="77777777" w:rsidR="0054794A" w:rsidRPr="00F03A38" w:rsidRDefault="0054794A" w:rsidP="009A4F21">
            <w:r w:rsidRPr="00F03A38">
              <w:t>Employ 1 PTE</w:t>
            </w:r>
          </w:p>
          <w:p w14:paraId="658741CE" w14:textId="77777777" w:rsidR="0054794A" w:rsidRPr="00F03A38" w:rsidRDefault="0054794A" w:rsidP="009A4F21">
            <w:r w:rsidRPr="00F03A38">
              <w:t>1:2 ratio</w:t>
            </w:r>
          </w:p>
        </w:tc>
      </w:tr>
      <w:tr w:rsidR="0054794A" w:rsidRPr="00F03A38" w14:paraId="19B048FE" w14:textId="77777777" w:rsidTr="009A4F21">
        <w:tc>
          <w:tcPr>
            <w:tcW w:w="1696" w:type="dxa"/>
          </w:tcPr>
          <w:p w14:paraId="0A594A93" w14:textId="77777777" w:rsidR="0054794A" w:rsidRPr="00F03A38" w:rsidRDefault="0054794A" w:rsidP="009A4F21">
            <w:r w:rsidRPr="00F03A38">
              <w:t>Claims Against Public Authorities</w:t>
            </w:r>
          </w:p>
        </w:tc>
        <w:tc>
          <w:tcPr>
            <w:tcW w:w="3261" w:type="dxa"/>
          </w:tcPr>
          <w:p w14:paraId="1E8E8CFF" w14:textId="77777777" w:rsidR="0054794A" w:rsidRPr="00F03A38" w:rsidRDefault="0054794A" w:rsidP="009A4F21">
            <w:r w:rsidRPr="00F03A38">
              <w:t>Each Office must be a Permanent Presence or a Part Time Presence.</w:t>
            </w:r>
          </w:p>
        </w:tc>
        <w:tc>
          <w:tcPr>
            <w:tcW w:w="1984" w:type="dxa"/>
          </w:tcPr>
          <w:p w14:paraId="5DC3D0D3" w14:textId="77777777" w:rsidR="0054794A" w:rsidRPr="00F03A38" w:rsidRDefault="0054794A" w:rsidP="009A4F21">
            <w:r w:rsidRPr="00F03A38">
              <w:t>Must employ a PTE AL with experience of CAPA who is available to each of its offices</w:t>
            </w:r>
          </w:p>
          <w:p w14:paraId="3C2F25B7" w14:textId="77777777" w:rsidR="0054794A" w:rsidRPr="00F03A38" w:rsidRDefault="0054794A" w:rsidP="009A4F21"/>
        </w:tc>
        <w:tc>
          <w:tcPr>
            <w:tcW w:w="2721" w:type="dxa"/>
          </w:tcPr>
          <w:p w14:paraId="77C6A901" w14:textId="77777777" w:rsidR="0054794A" w:rsidRPr="00F03A38" w:rsidRDefault="0054794A" w:rsidP="009A4F21">
            <w:r w:rsidRPr="00F03A38">
              <w:t>NA</w:t>
            </w:r>
          </w:p>
        </w:tc>
        <w:tc>
          <w:tcPr>
            <w:tcW w:w="2524" w:type="dxa"/>
          </w:tcPr>
          <w:p w14:paraId="1B4E8F2A" w14:textId="77777777" w:rsidR="0054794A" w:rsidRPr="00F03A38" w:rsidRDefault="0054794A" w:rsidP="009A4F21">
            <w:r w:rsidRPr="00F03A38">
              <w:t>If bidding for more than 60 matter starts where the applicant has not delivered the same level of matter starts in the last 12 months</w:t>
            </w:r>
          </w:p>
          <w:p w14:paraId="2FD70537" w14:textId="77777777" w:rsidR="0054794A" w:rsidRPr="00F03A38" w:rsidRDefault="0054794A" w:rsidP="009A4F21"/>
        </w:tc>
        <w:tc>
          <w:tcPr>
            <w:tcW w:w="1659" w:type="dxa"/>
          </w:tcPr>
          <w:p w14:paraId="66EFE958" w14:textId="77777777" w:rsidR="0054794A" w:rsidRPr="00F03A38" w:rsidRDefault="0054794A" w:rsidP="009A4F21">
            <w:r w:rsidRPr="00F03A38">
              <w:t>Employ 1 PTE</w:t>
            </w:r>
          </w:p>
          <w:p w14:paraId="1CD7B10F" w14:textId="77777777" w:rsidR="0054794A" w:rsidRPr="00F03A38" w:rsidRDefault="0054794A" w:rsidP="009A4F21">
            <w:r w:rsidRPr="00F03A38">
              <w:t>1:2 ratio</w:t>
            </w:r>
          </w:p>
        </w:tc>
      </w:tr>
      <w:tr w:rsidR="0054794A" w:rsidRPr="00F03A38" w14:paraId="3C264DC1" w14:textId="77777777" w:rsidTr="009A4F21">
        <w:tc>
          <w:tcPr>
            <w:tcW w:w="1696" w:type="dxa"/>
          </w:tcPr>
          <w:p w14:paraId="1AED0920" w14:textId="77777777" w:rsidR="0054794A" w:rsidRPr="00F03A38" w:rsidRDefault="0054794A" w:rsidP="009A4F21">
            <w:r w:rsidRPr="00F03A38">
              <w:t>Family Mediation</w:t>
            </w:r>
          </w:p>
        </w:tc>
        <w:tc>
          <w:tcPr>
            <w:tcW w:w="3261" w:type="dxa"/>
          </w:tcPr>
          <w:p w14:paraId="1283C3BB" w14:textId="77777777" w:rsidR="0054794A" w:rsidRPr="00F03A38" w:rsidRDefault="0054794A" w:rsidP="009A4F21">
            <w:r w:rsidRPr="00F03A38">
              <w:t>The Applicant must have an Office in England or Wales that meets the requirements of the Family Mediation specification. The Applicant may tender to deliver Family Mediation Contract Work from additional Outreach locations</w:t>
            </w:r>
          </w:p>
        </w:tc>
        <w:tc>
          <w:tcPr>
            <w:tcW w:w="1984" w:type="dxa"/>
          </w:tcPr>
          <w:p w14:paraId="63F88BC3" w14:textId="77777777" w:rsidR="0054794A" w:rsidRPr="00F03A38" w:rsidRDefault="0054794A" w:rsidP="009A4F21">
            <w:r w:rsidRPr="00F03A38">
              <w:t>NA</w:t>
            </w:r>
          </w:p>
        </w:tc>
        <w:tc>
          <w:tcPr>
            <w:tcW w:w="2721" w:type="dxa"/>
          </w:tcPr>
          <w:p w14:paraId="5116A5D5" w14:textId="246A2E26" w:rsidR="0054794A" w:rsidRPr="00F03A38" w:rsidRDefault="0054794A" w:rsidP="009A4F21">
            <w:r w:rsidRPr="00F03A38">
              <w:t>Must employ at least 1 mediator who holds Family Mediation Council Accreditation</w:t>
            </w:r>
          </w:p>
        </w:tc>
        <w:tc>
          <w:tcPr>
            <w:tcW w:w="2524" w:type="dxa"/>
          </w:tcPr>
          <w:p w14:paraId="6CE4CF17" w14:textId="77777777" w:rsidR="0054794A" w:rsidRPr="00F03A38" w:rsidRDefault="0054794A" w:rsidP="009A4F21">
            <w:r w:rsidRPr="00F03A38">
              <w:t>NA</w:t>
            </w:r>
          </w:p>
        </w:tc>
        <w:tc>
          <w:tcPr>
            <w:tcW w:w="1659" w:type="dxa"/>
          </w:tcPr>
          <w:p w14:paraId="20E9A915" w14:textId="77777777" w:rsidR="0054794A" w:rsidRPr="00F03A38" w:rsidRDefault="0054794A" w:rsidP="009A4F21">
            <w:r w:rsidRPr="00F03A38">
              <w:t>May use an external supervisor</w:t>
            </w:r>
          </w:p>
          <w:p w14:paraId="3F084AB1" w14:textId="77777777" w:rsidR="0054794A" w:rsidRPr="00F03A38" w:rsidRDefault="0054794A" w:rsidP="009A4F21">
            <w:r w:rsidRPr="00F03A38">
              <w:t>No ratio</w:t>
            </w:r>
          </w:p>
        </w:tc>
      </w:tr>
    </w:tbl>
    <w:p w14:paraId="2481BCB5" w14:textId="77777777" w:rsidR="00CD1E22" w:rsidRDefault="00CD1E22" w:rsidP="0054794A">
      <w:pPr>
        <w:rPr>
          <w:b/>
        </w:rPr>
      </w:pPr>
    </w:p>
    <w:p w14:paraId="20312C32" w14:textId="77777777" w:rsidR="0054794A" w:rsidRPr="0037554E" w:rsidRDefault="0054794A" w:rsidP="0054794A">
      <w:pPr>
        <w:rPr>
          <w:b/>
        </w:rPr>
      </w:pPr>
      <w:r>
        <w:rPr>
          <w:b/>
        </w:rPr>
        <w:lastRenderedPageBreak/>
        <w:t>Section 3: e-Tendering S</w:t>
      </w:r>
      <w:r w:rsidRPr="0037554E">
        <w:rPr>
          <w:b/>
        </w:rPr>
        <w:t>ystem</w:t>
      </w:r>
    </w:p>
    <w:p w14:paraId="197935BC" w14:textId="77777777" w:rsidR="0054794A" w:rsidRPr="00526C50" w:rsidRDefault="0054794A" w:rsidP="0054794A">
      <w:pPr>
        <w:rPr>
          <w:sz w:val="24"/>
        </w:rPr>
      </w:pPr>
      <w:r w:rsidRPr="00526C50">
        <w:rPr>
          <w:sz w:val="24"/>
        </w:rPr>
        <w:t xml:space="preserve">As with </w:t>
      </w:r>
      <w:r>
        <w:rPr>
          <w:sz w:val="24"/>
        </w:rPr>
        <w:t xml:space="preserve">all </w:t>
      </w:r>
      <w:r w:rsidRPr="00526C50">
        <w:rPr>
          <w:sz w:val="24"/>
        </w:rPr>
        <w:t>previous tenders in recent memory, all submissions must be made using</w:t>
      </w:r>
      <w:r>
        <w:rPr>
          <w:sz w:val="24"/>
        </w:rPr>
        <w:t xml:space="preserve"> the Bravo electronic system at: </w:t>
      </w:r>
      <w:hyperlink r:id="rId31" w:history="1">
        <w:r w:rsidRPr="00526C50">
          <w:rPr>
            <w:rStyle w:val="Hyperlink"/>
            <w:sz w:val="24"/>
          </w:rPr>
          <w:t>www.legalaid.bravosolution.co.uk</w:t>
        </w:r>
      </w:hyperlink>
    </w:p>
    <w:p w14:paraId="5A0F3048" w14:textId="77777777" w:rsidR="0054794A" w:rsidRDefault="0054794A" w:rsidP="0054794A">
      <w:pPr>
        <w:rPr>
          <w:sz w:val="24"/>
        </w:rPr>
      </w:pPr>
      <w:r w:rsidRPr="0001108A">
        <w:rPr>
          <w:sz w:val="24"/>
        </w:rPr>
        <w:t xml:space="preserve">Once Applicants have completed their responses to the Organisation </w:t>
      </w:r>
      <w:r>
        <w:rPr>
          <w:sz w:val="24"/>
        </w:rPr>
        <w:t xml:space="preserve">SQ </w:t>
      </w:r>
      <w:r w:rsidRPr="0001108A">
        <w:rPr>
          <w:sz w:val="24"/>
        </w:rPr>
        <w:t xml:space="preserve">and each of the Individual Bid ITTs they wish to respond to, they must submit their Tender by clicking on the “Submit Response” button within each of the ITTs. </w:t>
      </w:r>
    </w:p>
    <w:p w14:paraId="13BC22D6" w14:textId="77777777" w:rsidR="0054794A" w:rsidRDefault="0054794A" w:rsidP="0054794A">
      <w:pPr>
        <w:rPr>
          <w:sz w:val="24"/>
        </w:rPr>
      </w:pPr>
      <w:r>
        <w:rPr>
          <w:sz w:val="24"/>
        </w:rPr>
        <w:t xml:space="preserve">The </w:t>
      </w:r>
      <w:r w:rsidRPr="0001108A">
        <w:rPr>
          <w:sz w:val="24"/>
        </w:rPr>
        <w:t xml:space="preserve">Organisation </w:t>
      </w:r>
      <w:r>
        <w:rPr>
          <w:sz w:val="24"/>
        </w:rPr>
        <w:t xml:space="preserve">SQ </w:t>
      </w:r>
      <w:r w:rsidRPr="0001108A">
        <w:rPr>
          <w:sz w:val="24"/>
        </w:rPr>
        <w:t xml:space="preserve">must be submitted first as it is not possible to submit a response to an Individual Bid ITT until a response to the Organisation </w:t>
      </w:r>
      <w:r>
        <w:rPr>
          <w:sz w:val="24"/>
        </w:rPr>
        <w:t xml:space="preserve">SQ </w:t>
      </w:r>
      <w:r w:rsidRPr="0001108A">
        <w:rPr>
          <w:sz w:val="24"/>
        </w:rPr>
        <w:t xml:space="preserve">has been submitted. </w:t>
      </w:r>
    </w:p>
    <w:p w14:paraId="339115B4" w14:textId="77777777" w:rsidR="0054794A" w:rsidRDefault="0054794A" w:rsidP="0054794A">
      <w:pPr>
        <w:pBdr>
          <w:top w:val="single" w:sz="4" w:space="1" w:color="auto"/>
          <w:left w:val="single" w:sz="4" w:space="4" w:color="auto"/>
          <w:bottom w:val="single" w:sz="4" w:space="1" w:color="auto"/>
          <w:right w:val="single" w:sz="4" w:space="4" w:color="auto"/>
        </w:pBdr>
        <w:shd w:val="clear" w:color="auto" w:fill="B8CCE4" w:themeFill="accent1" w:themeFillTint="66"/>
        <w:rPr>
          <w:sz w:val="24"/>
        </w:rPr>
      </w:pPr>
      <w:r>
        <w:rPr>
          <w:sz w:val="24"/>
        </w:rPr>
        <w:t xml:space="preserve">Important: </w:t>
      </w:r>
      <w:r w:rsidRPr="0001108A">
        <w:rPr>
          <w:sz w:val="24"/>
        </w:rPr>
        <w:t>The e</w:t>
      </w:r>
      <w:r>
        <w:rPr>
          <w:sz w:val="24"/>
        </w:rPr>
        <w:t>-Tendering s</w:t>
      </w:r>
      <w:r w:rsidRPr="0001108A">
        <w:rPr>
          <w:sz w:val="24"/>
        </w:rPr>
        <w:t xml:space="preserve">ystem, however, will not prevent an Applicant from submitting a response to the Organisation </w:t>
      </w:r>
      <w:r>
        <w:rPr>
          <w:sz w:val="24"/>
        </w:rPr>
        <w:t xml:space="preserve">SQ </w:t>
      </w:r>
      <w:r w:rsidRPr="0001108A">
        <w:rPr>
          <w:sz w:val="24"/>
        </w:rPr>
        <w:t>without a</w:t>
      </w:r>
      <w:r>
        <w:rPr>
          <w:sz w:val="24"/>
        </w:rPr>
        <w:t>n</w:t>
      </w:r>
      <w:r w:rsidRPr="0001108A">
        <w:rPr>
          <w:sz w:val="24"/>
        </w:rPr>
        <w:t xml:space="preserve"> Individual Bid (a response to an Individual Bid ITT). </w:t>
      </w:r>
    </w:p>
    <w:p w14:paraId="5FFA6970" w14:textId="77777777" w:rsidR="0054794A" w:rsidRDefault="0054794A" w:rsidP="0054794A">
      <w:pPr>
        <w:rPr>
          <w:sz w:val="24"/>
        </w:rPr>
      </w:pPr>
      <w:r w:rsidRPr="0001108A">
        <w:rPr>
          <w:sz w:val="24"/>
        </w:rPr>
        <w:t>Applicants may amend and re-submit their Tender at an</w:t>
      </w:r>
      <w:r>
        <w:rPr>
          <w:sz w:val="24"/>
        </w:rPr>
        <w:t>y time up to the Deadline. If</w:t>
      </w:r>
      <w:r w:rsidRPr="0001108A">
        <w:rPr>
          <w:sz w:val="24"/>
        </w:rPr>
        <w:t xml:space="preserve"> amended and re-submitted, only the latest Tender submitted shall be assessed. It is the Applicant’s sole responsibility to ensure that its Tender is fully and accurately completed. The Applicant must ensure that information provided as part of its response is of sufficient quality and detail that an informed assessment may be carried out by the LAA.</w:t>
      </w:r>
      <w:r>
        <w:rPr>
          <w:sz w:val="24"/>
        </w:rPr>
        <w:br/>
      </w:r>
    </w:p>
    <w:p w14:paraId="24ABDFBB" w14:textId="77777777" w:rsidR="0054794A" w:rsidRPr="00243602" w:rsidRDefault="0054794A" w:rsidP="0054794A">
      <w:pPr>
        <w:rPr>
          <w:b/>
          <w:sz w:val="24"/>
        </w:rPr>
      </w:pPr>
      <w:r w:rsidRPr="00243602">
        <w:rPr>
          <w:b/>
          <w:sz w:val="24"/>
        </w:rPr>
        <w:t>Section</w:t>
      </w:r>
      <w:r>
        <w:rPr>
          <w:b/>
          <w:sz w:val="24"/>
        </w:rPr>
        <w:t xml:space="preserve"> 4</w:t>
      </w:r>
      <w:r w:rsidRPr="00243602">
        <w:rPr>
          <w:b/>
          <w:sz w:val="24"/>
        </w:rPr>
        <w:t>: Completion of the Tender</w:t>
      </w:r>
    </w:p>
    <w:p w14:paraId="70B2CDF1" w14:textId="77777777" w:rsidR="0054794A" w:rsidRDefault="0054794A" w:rsidP="0054794A">
      <w:pPr>
        <w:rPr>
          <w:sz w:val="24"/>
        </w:rPr>
      </w:pPr>
      <w:r>
        <w:rPr>
          <w:sz w:val="24"/>
        </w:rPr>
        <w:t>This section repeats the point that a submitted tender must consist of a completed SQ and one or more ITTs.</w:t>
      </w:r>
    </w:p>
    <w:p w14:paraId="16937B8F" w14:textId="77777777" w:rsidR="0054794A" w:rsidRPr="004C6F5B" w:rsidRDefault="0054794A" w:rsidP="0054794A">
      <w:pPr>
        <w:rPr>
          <w:sz w:val="24"/>
        </w:rPr>
      </w:pPr>
    </w:p>
    <w:p w14:paraId="32F7CABB" w14:textId="77777777" w:rsidR="0054794A" w:rsidRPr="00341992" w:rsidRDefault="0054794A" w:rsidP="0054794A">
      <w:pPr>
        <w:rPr>
          <w:b/>
          <w:sz w:val="24"/>
        </w:rPr>
      </w:pPr>
      <w:r>
        <w:rPr>
          <w:b/>
          <w:sz w:val="24"/>
        </w:rPr>
        <w:t>Section 5</w:t>
      </w:r>
      <w:r w:rsidRPr="00341992">
        <w:rPr>
          <w:b/>
          <w:sz w:val="24"/>
        </w:rPr>
        <w:t>: Applicants’ Questions</w:t>
      </w:r>
    </w:p>
    <w:p w14:paraId="67294119" w14:textId="77777777" w:rsidR="0054794A" w:rsidRDefault="0054794A" w:rsidP="0054794A">
      <w:pPr>
        <w:rPr>
          <w:sz w:val="24"/>
        </w:rPr>
      </w:pPr>
      <w:r>
        <w:rPr>
          <w:sz w:val="24"/>
        </w:rPr>
        <w:t xml:space="preserve">Any questions about this tender can be submitted via the Bravo portal until 23:59 on 19 October 2017.  The replies to these questions could be published at any time although in the tender timetable they are specific that a final FAQ document shall be published in the week commencing 30 October 2017. </w:t>
      </w:r>
    </w:p>
    <w:p w14:paraId="34B33BC4" w14:textId="77777777" w:rsidR="0054794A" w:rsidRPr="004C6F5B" w:rsidRDefault="0054794A" w:rsidP="0054794A">
      <w:pPr>
        <w:rPr>
          <w:i/>
          <w:sz w:val="24"/>
        </w:rPr>
      </w:pPr>
      <w:r w:rsidRPr="004C6F5B">
        <w:rPr>
          <w:i/>
          <w:sz w:val="24"/>
        </w:rPr>
        <w:t xml:space="preserve">Note that this is the only mechanism for asking questions and any queries directed to Contract Managers will not be answered. </w:t>
      </w:r>
    </w:p>
    <w:p w14:paraId="5B08A651" w14:textId="77777777" w:rsidR="0054794A" w:rsidRDefault="0054794A" w:rsidP="0054794A">
      <w:pPr>
        <w:pBdr>
          <w:top w:val="single" w:sz="4" w:space="1" w:color="auto"/>
          <w:left w:val="single" w:sz="4" w:space="4" w:color="auto"/>
          <w:bottom w:val="single" w:sz="4" w:space="1" w:color="auto"/>
          <w:right w:val="single" w:sz="4" w:space="4" w:color="auto"/>
        </w:pBdr>
        <w:shd w:val="clear" w:color="auto" w:fill="B8CCE4" w:themeFill="accent1" w:themeFillTint="66"/>
        <w:rPr>
          <w:sz w:val="24"/>
        </w:rPr>
      </w:pPr>
      <w:r>
        <w:rPr>
          <w:sz w:val="24"/>
        </w:rPr>
        <w:lastRenderedPageBreak/>
        <w:t xml:space="preserve">Important: In the past, the LAA has been criticised for not answering questions but instead referring questioners back to the IFA document. It is therefore crucial to frame questions very clearly and if applicable make clear that the relevant section of the IFA has been checked. </w:t>
      </w:r>
    </w:p>
    <w:p w14:paraId="75E162A4" w14:textId="77777777" w:rsidR="0054794A" w:rsidRDefault="0054794A" w:rsidP="0054794A">
      <w:pPr>
        <w:rPr>
          <w:sz w:val="24"/>
        </w:rPr>
      </w:pPr>
    </w:p>
    <w:p w14:paraId="62921906" w14:textId="77777777" w:rsidR="0054794A" w:rsidRDefault="0054794A" w:rsidP="0054794A">
      <w:pPr>
        <w:rPr>
          <w:b/>
          <w:sz w:val="24"/>
        </w:rPr>
      </w:pPr>
      <w:r>
        <w:rPr>
          <w:b/>
          <w:sz w:val="24"/>
        </w:rPr>
        <w:t>Section 6</w:t>
      </w:r>
      <w:r w:rsidRPr="004C3789">
        <w:rPr>
          <w:b/>
          <w:sz w:val="24"/>
        </w:rPr>
        <w:t>: Tender Assessment</w:t>
      </w:r>
    </w:p>
    <w:p w14:paraId="19D6E74E" w14:textId="77777777" w:rsidR="0054794A" w:rsidRDefault="0054794A" w:rsidP="0054794A">
      <w:pPr>
        <w:rPr>
          <w:sz w:val="24"/>
        </w:rPr>
      </w:pPr>
      <w:r w:rsidRPr="004C6F5B">
        <w:rPr>
          <w:sz w:val="24"/>
        </w:rPr>
        <w:t>The SQ will be assessed first. If this is passed, the LAA will then go on</w:t>
      </w:r>
      <w:r>
        <w:rPr>
          <w:sz w:val="24"/>
        </w:rPr>
        <w:t xml:space="preserve"> </w:t>
      </w:r>
      <w:r w:rsidRPr="004C6F5B">
        <w:rPr>
          <w:sz w:val="24"/>
        </w:rPr>
        <w:t xml:space="preserve">to assess each ITT that has been submitted. </w:t>
      </w:r>
      <w:r>
        <w:rPr>
          <w:sz w:val="24"/>
        </w:rPr>
        <w:t xml:space="preserve">Each postcode submitted shall be checked to verify whether the correct ITT has been chosen. </w:t>
      </w:r>
    </w:p>
    <w:p w14:paraId="647452EE" w14:textId="77777777" w:rsidR="0054794A" w:rsidRPr="004C6F5B" w:rsidRDefault="0054794A" w:rsidP="0054794A">
      <w:pPr>
        <w:rPr>
          <w:sz w:val="24"/>
        </w:rPr>
      </w:pPr>
      <w:r>
        <w:rPr>
          <w:sz w:val="24"/>
        </w:rPr>
        <w:t xml:space="preserve">Where appropriate, the LAA shall validate the number of matter starts bid for against its own data where the applicant confirms it has delivered at least the volume bid for in the 12 months preceding the tender. </w:t>
      </w:r>
    </w:p>
    <w:p w14:paraId="5D9E6C1F" w14:textId="77777777" w:rsidR="0054794A" w:rsidRDefault="0054794A" w:rsidP="0054794A">
      <w:pPr>
        <w:rPr>
          <w:sz w:val="24"/>
        </w:rPr>
      </w:pPr>
    </w:p>
    <w:p w14:paraId="21A6BE2D" w14:textId="77777777" w:rsidR="0054794A" w:rsidRPr="00D45F36" w:rsidRDefault="0054794A" w:rsidP="0054794A">
      <w:pPr>
        <w:rPr>
          <w:b/>
          <w:sz w:val="24"/>
        </w:rPr>
      </w:pPr>
      <w:r>
        <w:rPr>
          <w:b/>
          <w:sz w:val="24"/>
        </w:rPr>
        <w:t>Section 7</w:t>
      </w:r>
      <w:r w:rsidRPr="00D45F36">
        <w:rPr>
          <w:b/>
          <w:sz w:val="24"/>
        </w:rPr>
        <w:t xml:space="preserve">: Verification of </w:t>
      </w:r>
      <w:r>
        <w:rPr>
          <w:b/>
          <w:sz w:val="24"/>
        </w:rPr>
        <w:t xml:space="preserve">Face to Face </w:t>
      </w:r>
      <w:r w:rsidRPr="00D45F36">
        <w:rPr>
          <w:b/>
          <w:sz w:val="24"/>
        </w:rPr>
        <w:t>Contract Tenders</w:t>
      </w:r>
    </w:p>
    <w:p w14:paraId="14DA80D1" w14:textId="77777777" w:rsidR="0054794A" w:rsidRPr="00DC1AC5" w:rsidRDefault="0054794A" w:rsidP="0054794A">
      <w:pPr>
        <w:pBdr>
          <w:top w:val="single" w:sz="4" w:space="1" w:color="auto"/>
          <w:left w:val="single" w:sz="4" w:space="4" w:color="auto"/>
          <w:bottom w:val="single" w:sz="4" w:space="1" w:color="auto"/>
          <w:right w:val="single" w:sz="4" w:space="4" w:color="auto"/>
        </w:pBdr>
        <w:shd w:val="clear" w:color="auto" w:fill="B8CCE4" w:themeFill="accent1" w:themeFillTint="66"/>
        <w:rPr>
          <w:i/>
          <w:sz w:val="24"/>
        </w:rPr>
      </w:pPr>
      <w:r w:rsidRPr="00DC1AC5">
        <w:rPr>
          <w:i/>
          <w:sz w:val="24"/>
        </w:rPr>
        <w:t xml:space="preserve">Important: In contrast to previous tenders, the LAA </w:t>
      </w:r>
      <w:r w:rsidRPr="00DC1AC5">
        <w:rPr>
          <w:i/>
          <w:sz w:val="24"/>
          <w:u w:val="single"/>
        </w:rPr>
        <w:t>do not</w:t>
      </w:r>
      <w:r w:rsidRPr="00DC1AC5">
        <w:rPr>
          <w:i/>
          <w:sz w:val="24"/>
        </w:rPr>
        <w:t xml:space="preserve"> say that applicants who are able to submit verification information are advised to provide this as part of their Tender. This may</w:t>
      </w:r>
      <w:r>
        <w:rPr>
          <w:i/>
          <w:sz w:val="24"/>
        </w:rPr>
        <w:t xml:space="preserve"> be</w:t>
      </w:r>
      <w:r w:rsidRPr="00DC1AC5">
        <w:rPr>
          <w:i/>
          <w:sz w:val="24"/>
        </w:rPr>
        <w:t xml:space="preserve"> because the recent crime tender was particularly tortuous when it came to submitting and re-submitting verification. It appears that this time round the LAA are content for providers to wait and only submit verification after a contract offer has been made. </w:t>
      </w:r>
    </w:p>
    <w:p w14:paraId="1D8C9BCF" w14:textId="77777777" w:rsidR="0054794A" w:rsidRPr="00DC1AC5" w:rsidRDefault="0054794A" w:rsidP="0054794A">
      <w:pPr>
        <w:pBdr>
          <w:top w:val="single" w:sz="4" w:space="1" w:color="auto"/>
          <w:left w:val="single" w:sz="4" w:space="4" w:color="auto"/>
          <w:bottom w:val="single" w:sz="4" w:space="1" w:color="auto"/>
          <w:right w:val="single" w:sz="4" w:space="4" w:color="auto"/>
        </w:pBdr>
        <w:shd w:val="clear" w:color="auto" w:fill="B8CCE4" w:themeFill="accent1" w:themeFillTint="66"/>
        <w:rPr>
          <w:i/>
          <w:sz w:val="24"/>
        </w:rPr>
      </w:pPr>
      <w:r w:rsidRPr="00DC1AC5">
        <w:rPr>
          <w:i/>
          <w:sz w:val="24"/>
        </w:rPr>
        <w:t>We wo</w:t>
      </w:r>
      <w:r>
        <w:rPr>
          <w:i/>
          <w:sz w:val="24"/>
        </w:rPr>
        <w:t xml:space="preserve">uld strongly recommend waiting </w:t>
      </w:r>
      <w:r w:rsidRPr="00DC1AC5">
        <w:rPr>
          <w:i/>
          <w:sz w:val="24"/>
        </w:rPr>
        <w:t xml:space="preserve">and only submit verification information after a contract award has been made. </w:t>
      </w:r>
    </w:p>
    <w:p w14:paraId="36420B6C" w14:textId="77777777" w:rsidR="0054794A" w:rsidRDefault="0054794A" w:rsidP="0054794A">
      <w:pPr>
        <w:rPr>
          <w:sz w:val="24"/>
        </w:rPr>
      </w:pPr>
    </w:p>
    <w:p w14:paraId="1EBD030E" w14:textId="77777777" w:rsidR="0054794A" w:rsidRDefault="0054794A" w:rsidP="0054794A">
      <w:pPr>
        <w:rPr>
          <w:sz w:val="24"/>
        </w:rPr>
      </w:pPr>
    </w:p>
    <w:p w14:paraId="542AFB3D" w14:textId="77777777" w:rsidR="0054794A" w:rsidRDefault="0054794A" w:rsidP="0054794A">
      <w:pPr>
        <w:rPr>
          <w:sz w:val="24"/>
        </w:rPr>
      </w:pPr>
    </w:p>
    <w:p w14:paraId="0FF5341F" w14:textId="77777777" w:rsidR="0054794A" w:rsidRDefault="0054794A" w:rsidP="0054794A">
      <w:pPr>
        <w:rPr>
          <w:sz w:val="24"/>
        </w:rPr>
      </w:pPr>
    </w:p>
    <w:p w14:paraId="4CDD3E63" w14:textId="77777777" w:rsidR="0054794A" w:rsidRDefault="0054794A" w:rsidP="0054794A">
      <w:pPr>
        <w:rPr>
          <w:sz w:val="24"/>
        </w:rPr>
      </w:pPr>
    </w:p>
    <w:p w14:paraId="5EAF2D7C" w14:textId="77777777" w:rsidR="0054794A" w:rsidRDefault="0054794A" w:rsidP="0054794A">
      <w:pPr>
        <w:rPr>
          <w:sz w:val="24"/>
        </w:rPr>
      </w:pPr>
    </w:p>
    <w:p w14:paraId="0170DFDE" w14:textId="77777777" w:rsidR="0054794A" w:rsidRDefault="0054794A" w:rsidP="0054794A">
      <w:pPr>
        <w:rPr>
          <w:sz w:val="24"/>
        </w:rPr>
      </w:pPr>
      <w:r>
        <w:rPr>
          <w:sz w:val="24"/>
        </w:rPr>
        <w:lastRenderedPageBreak/>
        <w:t>Contract verification is outlined in Annex C and consists of:</w:t>
      </w:r>
    </w:p>
    <w:p w14:paraId="6248F7C0" w14:textId="77777777" w:rsidR="0054794A" w:rsidRDefault="0054794A" w:rsidP="0054794A">
      <w:pPr>
        <w:rPr>
          <w:sz w:val="24"/>
        </w:rPr>
      </w:pPr>
    </w:p>
    <w:tbl>
      <w:tblPr>
        <w:tblStyle w:val="TableGrid"/>
        <w:tblW w:w="0" w:type="auto"/>
        <w:tblLook w:val="04A0" w:firstRow="1" w:lastRow="0" w:firstColumn="1" w:lastColumn="0" w:noHBand="0" w:noVBand="1"/>
      </w:tblPr>
      <w:tblGrid>
        <w:gridCol w:w="4615"/>
        <w:gridCol w:w="4615"/>
        <w:gridCol w:w="4615"/>
      </w:tblGrid>
      <w:tr w:rsidR="0054794A" w14:paraId="6CC2A17D" w14:textId="77777777" w:rsidTr="009A4F21">
        <w:tc>
          <w:tcPr>
            <w:tcW w:w="4615" w:type="dxa"/>
            <w:shd w:val="clear" w:color="auto" w:fill="B8CCE4" w:themeFill="accent1" w:themeFillTint="66"/>
          </w:tcPr>
          <w:p w14:paraId="2455721F" w14:textId="77777777" w:rsidR="0054794A" w:rsidRDefault="0054794A" w:rsidP="009A4F21">
            <w:pPr>
              <w:rPr>
                <w:sz w:val="24"/>
              </w:rPr>
            </w:pPr>
            <w:r>
              <w:rPr>
                <w:sz w:val="24"/>
              </w:rPr>
              <w:t>Verification</w:t>
            </w:r>
          </w:p>
        </w:tc>
        <w:tc>
          <w:tcPr>
            <w:tcW w:w="4615" w:type="dxa"/>
            <w:shd w:val="clear" w:color="auto" w:fill="B8CCE4" w:themeFill="accent1" w:themeFillTint="66"/>
          </w:tcPr>
          <w:p w14:paraId="7D07C761" w14:textId="77777777" w:rsidR="0054794A" w:rsidRDefault="0054794A" w:rsidP="009A4F21">
            <w:pPr>
              <w:rPr>
                <w:sz w:val="24"/>
              </w:rPr>
            </w:pPr>
            <w:r>
              <w:rPr>
                <w:sz w:val="24"/>
              </w:rPr>
              <w:t>Existing Applicant</w:t>
            </w:r>
          </w:p>
        </w:tc>
        <w:tc>
          <w:tcPr>
            <w:tcW w:w="4615" w:type="dxa"/>
            <w:shd w:val="clear" w:color="auto" w:fill="B8CCE4" w:themeFill="accent1" w:themeFillTint="66"/>
          </w:tcPr>
          <w:p w14:paraId="2E78D651" w14:textId="77777777" w:rsidR="0054794A" w:rsidRDefault="0054794A" w:rsidP="009A4F21">
            <w:pPr>
              <w:rPr>
                <w:sz w:val="24"/>
              </w:rPr>
            </w:pPr>
            <w:r>
              <w:rPr>
                <w:sz w:val="24"/>
              </w:rPr>
              <w:t>New Applicant</w:t>
            </w:r>
          </w:p>
        </w:tc>
      </w:tr>
      <w:tr w:rsidR="0054794A" w14:paraId="652307EC" w14:textId="77777777" w:rsidTr="009A4F21">
        <w:tc>
          <w:tcPr>
            <w:tcW w:w="4615" w:type="dxa"/>
          </w:tcPr>
          <w:p w14:paraId="01BA1DDE" w14:textId="77777777" w:rsidR="0054794A" w:rsidRDefault="0054794A" w:rsidP="009A4F21">
            <w:pPr>
              <w:rPr>
                <w:sz w:val="24"/>
              </w:rPr>
            </w:pPr>
            <w:r>
              <w:rPr>
                <w:sz w:val="24"/>
              </w:rPr>
              <w:t>Authorisation to Practise</w:t>
            </w:r>
          </w:p>
        </w:tc>
        <w:tc>
          <w:tcPr>
            <w:tcW w:w="4615" w:type="dxa"/>
          </w:tcPr>
          <w:p w14:paraId="5C187F06" w14:textId="77777777" w:rsidR="0054794A" w:rsidRPr="00C16A36" w:rsidRDefault="0054794A" w:rsidP="009A4F21">
            <w:pPr>
              <w:rPr>
                <w:sz w:val="24"/>
              </w:rPr>
            </w:pPr>
            <w:r w:rsidRPr="00C16A36">
              <w:rPr>
                <w:sz w:val="24"/>
              </w:rPr>
              <w:t>Applicant’s SRA</w:t>
            </w:r>
            <w:r>
              <w:rPr>
                <w:sz w:val="24"/>
              </w:rPr>
              <w:t xml:space="preserve"> or </w:t>
            </w:r>
            <w:r w:rsidRPr="00C16A36">
              <w:rPr>
                <w:sz w:val="24"/>
              </w:rPr>
              <w:t>BSB</w:t>
            </w:r>
            <w:r>
              <w:rPr>
                <w:sz w:val="24"/>
              </w:rPr>
              <w:t xml:space="preserve"> or </w:t>
            </w:r>
            <w:proofErr w:type="spellStart"/>
            <w:r w:rsidRPr="00C16A36">
              <w:rPr>
                <w:sz w:val="24"/>
              </w:rPr>
              <w:t>CILEx</w:t>
            </w:r>
            <w:proofErr w:type="spellEnd"/>
            <w:r w:rsidRPr="00C16A36">
              <w:rPr>
                <w:sz w:val="24"/>
              </w:rPr>
              <w:t xml:space="preserve"> number</w:t>
            </w:r>
          </w:p>
          <w:p w14:paraId="32CDFDEC" w14:textId="77777777" w:rsidR="0054794A" w:rsidRDefault="0054794A" w:rsidP="009A4F21">
            <w:pPr>
              <w:rPr>
                <w:sz w:val="24"/>
              </w:rPr>
            </w:pPr>
          </w:p>
        </w:tc>
        <w:tc>
          <w:tcPr>
            <w:tcW w:w="4615" w:type="dxa"/>
          </w:tcPr>
          <w:p w14:paraId="23931111" w14:textId="77777777" w:rsidR="0054794A" w:rsidRPr="00C16A36" w:rsidRDefault="0054794A" w:rsidP="009A4F21">
            <w:pPr>
              <w:rPr>
                <w:sz w:val="24"/>
              </w:rPr>
            </w:pPr>
            <w:r w:rsidRPr="00C16A36">
              <w:rPr>
                <w:sz w:val="24"/>
              </w:rPr>
              <w:t xml:space="preserve">Applicant’s SRA or BSB or </w:t>
            </w:r>
            <w:proofErr w:type="spellStart"/>
            <w:r w:rsidRPr="00C16A36">
              <w:rPr>
                <w:sz w:val="24"/>
              </w:rPr>
              <w:t>CILEx</w:t>
            </w:r>
            <w:proofErr w:type="spellEnd"/>
            <w:r w:rsidRPr="00C16A36">
              <w:rPr>
                <w:sz w:val="24"/>
              </w:rPr>
              <w:t xml:space="preserve"> number</w:t>
            </w:r>
          </w:p>
          <w:p w14:paraId="5C0273D8" w14:textId="77777777" w:rsidR="0054794A" w:rsidRDefault="0054794A" w:rsidP="009A4F21">
            <w:pPr>
              <w:rPr>
                <w:sz w:val="24"/>
              </w:rPr>
            </w:pPr>
          </w:p>
        </w:tc>
      </w:tr>
      <w:tr w:rsidR="0054794A" w14:paraId="4EE26362" w14:textId="77777777" w:rsidTr="009A4F21">
        <w:tc>
          <w:tcPr>
            <w:tcW w:w="4615" w:type="dxa"/>
          </w:tcPr>
          <w:p w14:paraId="0BF3DC81" w14:textId="77777777" w:rsidR="0054794A" w:rsidRDefault="0054794A" w:rsidP="009A4F21">
            <w:pPr>
              <w:rPr>
                <w:sz w:val="24"/>
              </w:rPr>
            </w:pPr>
            <w:r>
              <w:rPr>
                <w:sz w:val="24"/>
              </w:rPr>
              <w:t>Quality Standard</w:t>
            </w:r>
          </w:p>
        </w:tc>
        <w:tc>
          <w:tcPr>
            <w:tcW w:w="4615" w:type="dxa"/>
          </w:tcPr>
          <w:p w14:paraId="255EE654" w14:textId="77777777" w:rsidR="0054794A" w:rsidRDefault="0054794A" w:rsidP="009A4F21">
            <w:pPr>
              <w:rPr>
                <w:sz w:val="24"/>
              </w:rPr>
            </w:pPr>
            <w:r>
              <w:rPr>
                <w:sz w:val="24"/>
              </w:rPr>
              <w:t>Lexcel or SQM Certificate valid until 1 September 2018</w:t>
            </w:r>
          </w:p>
        </w:tc>
        <w:tc>
          <w:tcPr>
            <w:tcW w:w="4615" w:type="dxa"/>
          </w:tcPr>
          <w:p w14:paraId="44B6F776" w14:textId="77777777" w:rsidR="0054794A" w:rsidRDefault="0054794A" w:rsidP="009A4F21">
            <w:pPr>
              <w:rPr>
                <w:sz w:val="24"/>
              </w:rPr>
            </w:pPr>
            <w:r>
              <w:rPr>
                <w:sz w:val="24"/>
              </w:rPr>
              <w:t>Letter to confirm that the Desktop SQM audit has been passed</w:t>
            </w:r>
          </w:p>
          <w:p w14:paraId="3A4046A1" w14:textId="77777777" w:rsidR="0054794A" w:rsidRDefault="0054794A" w:rsidP="009A4F21">
            <w:pPr>
              <w:rPr>
                <w:sz w:val="24"/>
              </w:rPr>
            </w:pPr>
          </w:p>
        </w:tc>
      </w:tr>
      <w:tr w:rsidR="0054794A" w14:paraId="3C54BAB0" w14:textId="77777777" w:rsidTr="009A4F21">
        <w:tc>
          <w:tcPr>
            <w:tcW w:w="4615" w:type="dxa"/>
          </w:tcPr>
          <w:p w14:paraId="5E0B78B9" w14:textId="77777777" w:rsidR="0054794A" w:rsidRDefault="0054794A" w:rsidP="009A4F21">
            <w:pPr>
              <w:rPr>
                <w:sz w:val="24"/>
              </w:rPr>
            </w:pPr>
            <w:r>
              <w:rPr>
                <w:sz w:val="24"/>
              </w:rPr>
              <w:t>Supervisor Requirements</w:t>
            </w:r>
          </w:p>
          <w:p w14:paraId="79232E0A" w14:textId="77777777" w:rsidR="0054794A" w:rsidRDefault="0054794A" w:rsidP="009A4F21">
            <w:pPr>
              <w:rPr>
                <w:sz w:val="24"/>
              </w:rPr>
            </w:pPr>
          </w:p>
        </w:tc>
        <w:tc>
          <w:tcPr>
            <w:tcW w:w="4615" w:type="dxa"/>
          </w:tcPr>
          <w:p w14:paraId="55AA37DB" w14:textId="77777777" w:rsidR="0054794A" w:rsidRDefault="0054794A" w:rsidP="009A4F21">
            <w:pPr>
              <w:rPr>
                <w:sz w:val="24"/>
              </w:rPr>
            </w:pPr>
            <w:r>
              <w:rPr>
                <w:sz w:val="24"/>
              </w:rPr>
              <w:t>Completed supervisor forms</w:t>
            </w:r>
          </w:p>
        </w:tc>
        <w:tc>
          <w:tcPr>
            <w:tcW w:w="4615" w:type="dxa"/>
          </w:tcPr>
          <w:p w14:paraId="7E2DC112" w14:textId="77777777" w:rsidR="0054794A" w:rsidRDefault="0054794A" w:rsidP="009A4F21">
            <w:pPr>
              <w:rPr>
                <w:sz w:val="24"/>
              </w:rPr>
            </w:pPr>
            <w:r w:rsidRPr="00735605">
              <w:rPr>
                <w:sz w:val="24"/>
              </w:rPr>
              <w:t>Completed supervisor forms</w:t>
            </w:r>
          </w:p>
        </w:tc>
      </w:tr>
      <w:tr w:rsidR="0054794A" w14:paraId="0698EDCE" w14:textId="77777777" w:rsidTr="009A4F21">
        <w:tc>
          <w:tcPr>
            <w:tcW w:w="4615" w:type="dxa"/>
          </w:tcPr>
          <w:p w14:paraId="198AC230" w14:textId="77777777" w:rsidR="0054794A" w:rsidRDefault="0054794A" w:rsidP="009A4F21">
            <w:pPr>
              <w:rPr>
                <w:sz w:val="24"/>
              </w:rPr>
            </w:pPr>
            <w:r>
              <w:rPr>
                <w:sz w:val="24"/>
              </w:rPr>
              <w:t>Supervisor Ratios</w:t>
            </w:r>
          </w:p>
        </w:tc>
        <w:tc>
          <w:tcPr>
            <w:tcW w:w="4615" w:type="dxa"/>
          </w:tcPr>
          <w:p w14:paraId="7B487384" w14:textId="77777777" w:rsidR="0054794A" w:rsidRDefault="0054794A" w:rsidP="009A4F21">
            <w:pPr>
              <w:rPr>
                <w:sz w:val="24"/>
              </w:rPr>
            </w:pPr>
            <w:r>
              <w:rPr>
                <w:sz w:val="24"/>
              </w:rPr>
              <w:t>A Contract Manager will visit the applicant within 6 months to confirm compliance with this requirement</w:t>
            </w:r>
          </w:p>
        </w:tc>
        <w:tc>
          <w:tcPr>
            <w:tcW w:w="4615" w:type="dxa"/>
          </w:tcPr>
          <w:p w14:paraId="2584851E" w14:textId="77777777" w:rsidR="0054794A" w:rsidRDefault="0054794A" w:rsidP="009A4F21">
            <w:pPr>
              <w:rPr>
                <w:sz w:val="24"/>
              </w:rPr>
            </w:pPr>
            <w:r w:rsidRPr="00D25C87">
              <w:rPr>
                <w:sz w:val="24"/>
              </w:rPr>
              <w:t>A Contract Manager will visit the applicant within 6 months to confirm compliance with this requirement</w:t>
            </w:r>
          </w:p>
          <w:p w14:paraId="67F3949B" w14:textId="77777777" w:rsidR="0054794A" w:rsidRDefault="0054794A" w:rsidP="009A4F21">
            <w:pPr>
              <w:rPr>
                <w:sz w:val="24"/>
              </w:rPr>
            </w:pPr>
          </w:p>
        </w:tc>
      </w:tr>
      <w:tr w:rsidR="0054794A" w14:paraId="2567315D" w14:textId="77777777" w:rsidTr="009A4F21">
        <w:tc>
          <w:tcPr>
            <w:tcW w:w="4615" w:type="dxa"/>
          </w:tcPr>
          <w:p w14:paraId="33E7B61A" w14:textId="77777777" w:rsidR="0054794A" w:rsidRDefault="0054794A" w:rsidP="009A4F21">
            <w:pPr>
              <w:rPr>
                <w:sz w:val="24"/>
              </w:rPr>
            </w:pPr>
            <w:r>
              <w:rPr>
                <w:sz w:val="24"/>
              </w:rPr>
              <w:t>Permanent Presence</w:t>
            </w:r>
          </w:p>
        </w:tc>
        <w:tc>
          <w:tcPr>
            <w:tcW w:w="4615" w:type="dxa"/>
          </w:tcPr>
          <w:p w14:paraId="5B41DB1C" w14:textId="77777777" w:rsidR="0054794A" w:rsidRDefault="0054794A" w:rsidP="009A4F21">
            <w:pPr>
              <w:rPr>
                <w:sz w:val="24"/>
              </w:rPr>
            </w:pPr>
            <w:r>
              <w:rPr>
                <w:sz w:val="24"/>
              </w:rPr>
              <w:t>Full address including postcode for the office and LAA account number</w:t>
            </w:r>
          </w:p>
        </w:tc>
        <w:tc>
          <w:tcPr>
            <w:tcW w:w="4615" w:type="dxa"/>
          </w:tcPr>
          <w:p w14:paraId="087FAEF2" w14:textId="77777777" w:rsidR="0054794A" w:rsidRDefault="0054794A" w:rsidP="009A4F21">
            <w:pPr>
              <w:rPr>
                <w:sz w:val="24"/>
              </w:rPr>
            </w:pPr>
            <w:r w:rsidRPr="00D25C87">
              <w:rPr>
                <w:sz w:val="24"/>
              </w:rPr>
              <w:t>Full address including postcode for the office</w:t>
            </w:r>
          </w:p>
        </w:tc>
      </w:tr>
    </w:tbl>
    <w:p w14:paraId="02DD8026" w14:textId="77777777" w:rsidR="0054794A" w:rsidRDefault="0054794A" w:rsidP="0054794A">
      <w:pPr>
        <w:rPr>
          <w:sz w:val="24"/>
        </w:rPr>
      </w:pPr>
    </w:p>
    <w:p w14:paraId="0689F099" w14:textId="18793762" w:rsidR="0054794A" w:rsidRDefault="0054794A" w:rsidP="0054794A">
      <w:pPr>
        <w:rPr>
          <w:sz w:val="24"/>
        </w:rPr>
      </w:pPr>
      <w:r>
        <w:rPr>
          <w:sz w:val="24"/>
        </w:rPr>
        <w:t>Please note that additional verification is required for higher bids which varies from category to category. Areas include delivery plans and</w:t>
      </w:r>
      <w:r w:rsidR="00333618">
        <w:rPr>
          <w:sz w:val="24"/>
        </w:rPr>
        <w:t xml:space="preserve"> </w:t>
      </w:r>
      <w:r>
        <w:rPr>
          <w:sz w:val="24"/>
        </w:rPr>
        <w:t>advanced accreditation.</w:t>
      </w:r>
    </w:p>
    <w:p w14:paraId="74DFD94D" w14:textId="77777777" w:rsidR="0054794A" w:rsidRDefault="0054794A" w:rsidP="0054794A">
      <w:pPr>
        <w:rPr>
          <w:sz w:val="24"/>
        </w:rPr>
      </w:pPr>
    </w:p>
    <w:bookmarkEnd w:id="4"/>
    <w:p w14:paraId="4AA046E3" w14:textId="77777777" w:rsidR="0054794A" w:rsidRDefault="0054794A" w:rsidP="0054794A">
      <w:pPr>
        <w:jc w:val="both"/>
        <w:rPr>
          <w:rFonts w:ascii="Calibri" w:hAnsi="Calibri"/>
          <w:b/>
          <w:sz w:val="28"/>
          <w:szCs w:val="28"/>
        </w:rPr>
      </w:pPr>
    </w:p>
    <w:p w14:paraId="01CC60FD" w14:textId="77777777" w:rsidR="001E2DF7" w:rsidRDefault="001E2DF7" w:rsidP="0054794A">
      <w:pPr>
        <w:jc w:val="both"/>
        <w:rPr>
          <w:rFonts w:ascii="Calibri" w:hAnsi="Calibri"/>
          <w:b/>
          <w:sz w:val="28"/>
          <w:szCs w:val="28"/>
        </w:rPr>
      </w:pPr>
    </w:p>
    <w:p w14:paraId="18B17A51" w14:textId="77777777" w:rsidR="001E2DF7" w:rsidRDefault="001E2DF7" w:rsidP="0054794A">
      <w:pPr>
        <w:jc w:val="both"/>
        <w:rPr>
          <w:rFonts w:ascii="Calibri" w:hAnsi="Calibri"/>
          <w:b/>
          <w:sz w:val="28"/>
          <w:szCs w:val="28"/>
        </w:rPr>
      </w:pPr>
    </w:p>
    <w:p w14:paraId="6BAE35F0" w14:textId="77777777" w:rsidR="001E2DF7" w:rsidRDefault="001E2DF7" w:rsidP="0054794A">
      <w:pPr>
        <w:jc w:val="both"/>
        <w:rPr>
          <w:rFonts w:ascii="Calibri" w:hAnsi="Calibri"/>
          <w:b/>
          <w:sz w:val="28"/>
          <w:szCs w:val="28"/>
        </w:rPr>
      </w:pPr>
    </w:p>
    <w:p w14:paraId="15583818" w14:textId="77777777" w:rsidR="001E2DF7" w:rsidRDefault="001E2DF7" w:rsidP="0054794A">
      <w:pPr>
        <w:jc w:val="both"/>
        <w:rPr>
          <w:rFonts w:ascii="Calibri" w:hAnsi="Calibri"/>
          <w:b/>
          <w:sz w:val="28"/>
          <w:szCs w:val="28"/>
        </w:rPr>
      </w:pPr>
    </w:p>
    <w:p w14:paraId="073FDFB4" w14:textId="30EB0F6A" w:rsidR="001E2DF7" w:rsidRDefault="001E2DF7" w:rsidP="006640E2">
      <w:pPr>
        <w:sectPr w:rsidR="001E2DF7" w:rsidSect="0054794A">
          <w:footerReference w:type="default" r:id="rId32"/>
          <w:pgSz w:w="15840" w:h="12240" w:orient="landscape"/>
          <w:pgMar w:top="709" w:right="1276" w:bottom="1276" w:left="709" w:header="720" w:footer="720" w:gutter="0"/>
          <w:cols w:space="720"/>
          <w:docGrid w:linePitch="360"/>
        </w:sectPr>
      </w:pPr>
    </w:p>
    <w:p w14:paraId="38759EC9" w14:textId="77777777" w:rsidR="001E2DF7" w:rsidRDefault="001E2DF7" w:rsidP="001E2DF7">
      <w:pPr>
        <w:pStyle w:val="ListParagraph"/>
      </w:pPr>
      <w:bookmarkStart w:id="5" w:name="_Hlk494293531"/>
    </w:p>
    <w:p w14:paraId="135946CF" w14:textId="77777777" w:rsidR="001E2DF7" w:rsidRPr="003C5237" w:rsidRDefault="001E2DF7" w:rsidP="001E2DF7">
      <w:pPr>
        <w:keepNext/>
        <w:shd w:val="clear" w:color="auto" w:fill="00B4CD"/>
        <w:spacing w:before="240" w:after="60"/>
        <w:jc w:val="center"/>
        <w:outlineLvl w:val="0"/>
        <w:rPr>
          <w:rFonts w:ascii="Cambria" w:hAnsi="Cambria"/>
          <w:b/>
          <w:bCs/>
          <w:color w:val="00B0F0"/>
          <w:kern w:val="32"/>
          <w:sz w:val="6"/>
          <w:szCs w:val="16"/>
        </w:rPr>
      </w:pPr>
    </w:p>
    <w:p w14:paraId="62FE391B" w14:textId="77777777" w:rsidR="001E2DF7" w:rsidRDefault="001E2DF7" w:rsidP="001E2DF7">
      <w:pPr>
        <w:jc w:val="center"/>
        <w:rPr>
          <w:b/>
        </w:rPr>
      </w:pPr>
      <w:r>
        <w:rPr>
          <w:rFonts w:ascii="Calibri" w:hAnsi="Calibri"/>
          <w:b/>
          <w:sz w:val="28"/>
          <w:szCs w:val="28"/>
        </w:rPr>
        <w:t xml:space="preserve">ANNEX 2 </w:t>
      </w:r>
    </w:p>
    <w:p w14:paraId="4DE1ACB4" w14:textId="77777777" w:rsidR="001E2DF7" w:rsidRDefault="001E2DF7" w:rsidP="001E2DF7">
      <w:pPr>
        <w:jc w:val="center"/>
        <w:rPr>
          <w:b/>
          <w:sz w:val="28"/>
          <w:szCs w:val="28"/>
        </w:rPr>
      </w:pPr>
      <w:r>
        <w:rPr>
          <w:b/>
          <w:sz w:val="28"/>
          <w:szCs w:val="28"/>
        </w:rPr>
        <w:t>Matter Starts Lots Table (Source: Pages 10-11 of the ITT IFA)</w:t>
      </w:r>
    </w:p>
    <w:bookmarkEnd w:id="5"/>
    <w:p w14:paraId="65AB64CF" w14:textId="77777777" w:rsidR="001E2DF7" w:rsidRDefault="001E2DF7" w:rsidP="001E2DF7">
      <w:pPr>
        <w:jc w:val="center"/>
        <w:rPr>
          <w:b/>
          <w:sz w:val="28"/>
          <w:szCs w:val="28"/>
        </w:rPr>
      </w:pPr>
    </w:p>
    <w:tbl>
      <w:tblPr>
        <w:tblW w:w="1148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4394"/>
        <w:gridCol w:w="1559"/>
        <w:gridCol w:w="1114"/>
        <w:gridCol w:w="3139"/>
      </w:tblGrid>
      <w:tr w:rsidR="001E2DF7" w14:paraId="08C6FD91" w14:textId="77777777" w:rsidTr="007629A1">
        <w:trPr>
          <w:trHeight w:val="1220"/>
        </w:trPr>
        <w:tc>
          <w:tcPr>
            <w:tcW w:w="1277" w:type="dxa"/>
          </w:tcPr>
          <w:p w14:paraId="7B4736DB" w14:textId="77777777" w:rsidR="001E2DF7" w:rsidRDefault="001E2DF7" w:rsidP="00B409A1">
            <w:pPr>
              <w:pStyle w:val="TableParagraph"/>
              <w:spacing w:line="243" w:lineRule="exact"/>
              <w:rPr>
                <w:rFonts w:ascii="Calibri"/>
                <w:b/>
                <w:sz w:val="20"/>
              </w:rPr>
            </w:pPr>
            <w:r>
              <w:rPr>
                <w:rFonts w:ascii="Calibri"/>
                <w:b/>
                <w:sz w:val="20"/>
              </w:rPr>
              <w:t>Category</w:t>
            </w:r>
          </w:p>
        </w:tc>
        <w:tc>
          <w:tcPr>
            <w:tcW w:w="4394" w:type="dxa"/>
          </w:tcPr>
          <w:p w14:paraId="761071B5" w14:textId="77777777" w:rsidR="001E2DF7" w:rsidRDefault="001E2DF7" w:rsidP="00B409A1">
            <w:pPr>
              <w:pStyle w:val="TableParagraph"/>
              <w:spacing w:line="243" w:lineRule="exact"/>
              <w:rPr>
                <w:rFonts w:ascii="Calibri"/>
                <w:b/>
                <w:sz w:val="20"/>
              </w:rPr>
            </w:pPr>
            <w:r>
              <w:rPr>
                <w:rFonts w:ascii="Calibri"/>
                <w:b/>
                <w:sz w:val="20"/>
              </w:rPr>
              <w:t>Lot</w:t>
            </w:r>
          </w:p>
        </w:tc>
        <w:tc>
          <w:tcPr>
            <w:tcW w:w="1559" w:type="dxa"/>
          </w:tcPr>
          <w:p w14:paraId="6FE71A39" w14:textId="77777777" w:rsidR="001E2DF7" w:rsidRDefault="001E2DF7" w:rsidP="00B409A1">
            <w:pPr>
              <w:pStyle w:val="TableParagraph"/>
              <w:ind w:right="182"/>
              <w:rPr>
                <w:rFonts w:ascii="Calibri"/>
                <w:b/>
                <w:sz w:val="20"/>
              </w:rPr>
            </w:pPr>
            <w:r>
              <w:rPr>
                <w:rFonts w:ascii="Calibri"/>
                <w:b/>
                <w:sz w:val="20"/>
              </w:rPr>
              <w:t>Matter Start value (Matter Starts awarded to a successful</w:t>
            </w:r>
          </w:p>
          <w:p w14:paraId="0FE5E516" w14:textId="77777777" w:rsidR="001E2DF7" w:rsidRDefault="001E2DF7" w:rsidP="00B409A1">
            <w:pPr>
              <w:pStyle w:val="TableParagraph"/>
              <w:spacing w:before="1" w:line="225" w:lineRule="exact"/>
              <w:rPr>
                <w:rFonts w:ascii="Calibri"/>
                <w:b/>
                <w:sz w:val="20"/>
              </w:rPr>
            </w:pPr>
            <w:r>
              <w:rPr>
                <w:rFonts w:ascii="Calibri"/>
                <w:b/>
                <w:sz w:val="20"/>
              </w:rPr>
              <w:t>Individual Bid)</w:t>
            </w:r>
          </w:p>
        </w:tc>
        <w:tc>
          <w:tcPr>
            <w:tcW w:w="1114" w:type="dxa"/>
          </w:tcPr>
          <w:p w14:paraId="01923185" w14:textId="77777777" w:rsidR="001E2DF7" w:rsidRDefault="001E2DF7" w:rsidP="00B409A1">
            <w:pPr>
              <w:pStyle w:val="TableParagraph"/>
              <w:ind w:left="102" w:right="194"/>
              <w:rPr>
                <w:rFonts w:ascii="Calibri"/>
                <w:b/>
                <w:sz w:val="20"/>
              </w:rPr>
            </w:pPr>
            <w:r>
              <w:rPr>
                <w:rFonts w:ascii="Calibri"/>
                <w:b/>
                <w:sz w:val="20"/>
              </w:rPr>
              <w:t>Delivery Plan may be required?</w:t>
            </w:r>
          </w:p>
        </w:tc>
        <w:tc>
          <w:tcPr>
            <w:tcW w:w="3139" w:type="dxa"/>
          </w:tcPr>
          <w:p w14:paraId="60827B74" w14:textId="77777777" w:rsidR="001E2DF7" w:rsidRDefault="001E2DF7" w:rsidP="00B409A1">
            <w:pPr>
              <w:pStyle w:val="TableParagraph"/>
              <w:ind w:left="102" w:right="347"/>
              <w:rPr>
                <w:rFonts w:ascii="Calibri"/>
                <w:b/>
                <w:sz w:val="20"/>
              </w:rPr>
            </w:pPr>
            <w:r>
              <w:rPr>
                <w:rFonts w:ascii="Calibri"/>
                <w:b/>
                <w:sz w:val="20"/>
              </w:rPr>
              <w:t>Lot-specific quality requirements?</w:t>
            </w:r>
          </w:p>
        </w:tc>
      </w:tr>
      <w:tr w:rsidR="001E2DF7" w14:paraId="3FCB0DC0" w14:textId="77777777" w:rsidTr="007629A1">
        <w:trPr>
          <w:trHeight w:val="240"/>
        </w:trPr>
        <w:tc>
          <w:tcPr>
            <w:tcW w:w="1277" w:type="dxa"/>
            <w:vMerge w:val="restart"/>
          </w:tcPr>
          <w:p w14:paraId="54FA5C3F" w14:textId="77777777" w:rsidR="001E2DF7" w:rsidRDefault="001E2DF7" w:rsidP="00B409A1">
            <w:pPr>
              <w:pStyle w:val="TableParagraph"/>
              <w:spacing w:line="243" w:lineRule="exact"/>
              <w:rPr>
                <w:rFonts w:ascii="Calibri"/>
                <w:sz w:val="20"/>
              </w:rPr>
            </w:pPr>
            <w:r>
              <w:rPr>
                <w:rFonts w:ascii="Calibri"/>
                <w:sz w:val="20"/>
              </w:rPr>
              <w:t>Family</w:t>
            </w:r>
          </w:p>
        </w:tc>
        <w:tc>
          <w:tcPr>
            <w:tcW w:w="4394" w:type="dxa"/>
          </w:tcPr>
          <w:p w14:paraId="23B1BC0C" w14:textId="77777777" w:rsidR="001E2DF7" w:rsidRDefault="001E2DF7" w:rsidP="00B409A1">
            <w:pPr>
              <w:pStyle w:val="TableParagraph"/>
              <w:spacing w:line="224" w:lineRule="exact"/>
              <w:rPr>
                <w:rFonts w:ascii="Calibri"/>
                <w:sz w:val="20"/>
              </w:rPr>
            </w:pPr>
            <w:r>
              <w:rPr>
                <w:rFonts w:ascii="Calibri"/>
                <w:sz w:val="20"/>
              </w:rPr>
              <w:t>Licensed Work Only</w:t>
            </w:r>
          </w:p>
        </w:tc>
        <w:tc>
          <w:tcPr>
            <w:tcW w:w="1559" w:type="dxa"/>
          </w:tcPr>
          <w:p w14:paraId="7487E60F" w14:textId="77777777" w:rsidR="001E2DF7" w:rsidRDefault="001E2DF7" w:rsidP="00B409A1">
            <w:pPr>
              <w:pStyle w:val="TableParagraph"/>
              <w:spacing w:line="224" w:lineRule="exact"/>
              <w:rPr>
                <w:rFonts w:ascii="Calibri"/>
                <w:sz w:val="20"/>
              </w:rPr>
            </w:pPr>
            <w:r>
              <w:rPr>
                <w:rFonts w:ascii="Calibri"/>
                <w:w w:val="99"/>
                <w:sz w:val="20"/>
              </w:rPr>
              <w:t>0</w:t>
            </w:r>
          </w:p>
        </w:tc>
        <w:tc>
          <w:tcPr>
            <w:tcW w:w="1114" w:type="dxa"/>
          </w:tcPr>
          <w:p w14:paraId="1C91B527" w14:textId="77777777" w:rsidR="001E2DF7" w:rsidRDefault="001E2DF7" w:rsidP="00B409A1">
            <w:pPr>
              <w:pStyle w:val="TableParagraph"/>
              <w:spacing w:line="224" w:lineRule="exact"/>
              <w:ind w:left="102"/>
              <w:rPr>
                <w:rFonts w:ascii="Calibri"/>
                <w:sz w:val="20"/>
              </w:rPr>
            </w:pPr>
            <w:r>
              <w:rPr>
                <w:rFonts w:ascii="Calibri"/>
                <w:sz w:val="20"/>
              </w:rPr>
              <w:t>No</w:t>
            </w:r>
          </w:p>
        </w:tc>
        <w:tc>
          <w:tcPr>
            <w:tcW w:w="3139" w:type="dxa"/>
          </w:tcPr>
          <w:p w14:paraId="1CDF5BA2" w14:textId="77777777" w:rsidR="001E2DF7" w:rsidRDefault="001E2DF7" w:rsidP="00B409A1">
            <w:pPr>
              <w:pStyle w:val="TableParagraph"/>
              <w:spacing w:line="224" w:lineRule="exact"/>
              <w:ind w:left="102"/>
              <w:rPr>
                <w:rFonts w:ascii="Calibri"/>
                <w:sz w:val="20"/>
              </w:rPr>
            </w:pPr>
            <w:r>
              <w:rPr>
                <w:rFonts w:ascii="Calibri"/>
                <w:sz w:val="20"/>
              </w:rPr>
              <w:t>No</w:t>
            </w:r>
          </w:p>
        </w:tc>
      </w:tr>
      <w:tr w:rsidR="001E2DF7" w14:paraId="04A77A91" w14:textId="77777777" w:rsidTr="007629A1">
        <w:trPr>
          <w:trHeight w:val="240"/>
        </w:trPr>
        <w:tc>
          <w:tcPr>
            <w:tcW w:w="1277" w:type="dxa"/>
            <w:vMerge/>
            <w:tcBorders>
              <w:top w:val="nil"/>
            </w:tcBorders>
          </w:tcPr>
          <w:p w14:paraId="6BDB458E" w14:textId="77777777" w:rsidR="001E2DF7" w:rsidRDefault="001E2DF7" w:rsidP="00B409A1">
            <w:pPr>
              <w:rPr>
                <w:sz w:val="2"/>
                <w:szCs w:val="2"/>
              </w:rPr>
            </w:pPr>
          </w:p>
        </w:tc>
        <w:tc>
          <w:tcPr>
            <w:tcW w:w="4394" w:type="dxa"/>
          </w:tcPr>
          <w:p w14:paraId="56084B60" w14:textId="77777777" w:rsidR="001E2DF7" w:rsidRDefault="001E2DF7" w:rsidP="00B409A1">
            <w:pPr>
              <w:pStyle w:val="TableParagraph"/>
              <w:spacing w:line="222" w:lineRule="exact"/>
              <w:rPr>
                <w:rFonts w:ascii="Calibri"/>
                <w:sz w:val="20"/>
              </w:rPr>
            </w:pPr>
            <w:r>
              <w:rPr>
                <w:rFonts w:ascii="Calibri"/>
                <w:sz w:val="20"/>
              </w:rPr>
              <w:t>Lot 1</w:t>
            </w:r>
          </w:p>
        </w:tc>
        <w:tc>
          <w:tcPr>
            <w:tcW w:w="1559" w:type="dxa"/>
          </w:tcPr>
          <w:p w14:paraId="17408635" w14:textId="77777777" w:rsidR="001E2DF7" w:rsidRDefault="001E2DF7" w:rsidP="00B409A1">
            <w:pPr>
              <w:pStyle w:val="TableParagraph"/>
              <w:spacing w:line="222" w:lineRule="exact"/>
              <w:rPr>
                <w:rFonts w:ascii="Calibri"/>
                <w:sz w:val="20"/>
              </w:rPr>
            </w:pPr>
            <w:r>
              <w:rPr>
                <w:rFonts w:ascii="Calibri"/>
                <w:sz w:val="20"/>
              </w:rPr>
              <w:t>20</w:t>
            </w:r>
          </w:p>
        </w:tc>
        <w:tc>
          <w:tcPr>
            <w:tcW w:w="1114" w:type="dxa"/>
          </w:tcPr>
          <w:p w14:paraId="21695B0D" w14:textId="77777777" w:rsidR="001E2DF7" w:rsidRDefault="001E2DF7" w:rsidP="00B409A1">
            <w:pPr>
              <w:pStyle w:val="TableParagraph"/>
              <w:spacing w:line="222" w:lineRule="exact"/>
              <w:ind w:left="102"/>
              <w:rPr>
                <w:rFonts w:ascii="Calibri"/>
                <w:sz w:val="20"/>
              </w:rPr>
            </w:pPr>
            <w:r>
              <w:rPr>
                <w:rFonts w:ascii="Calibri"/>
                <w:sz w:val="20"/>
              </w:rPr>
              <w:t>No</w:t>
            </w:r>
          </w:p>
        </w:tc>
        <w:tc>
          <w:tcPr>
            <w:tcW w:w="3139" w:type="dxa"/>
          </w:tcPr>
          <w:p w14:paraId="61D6B340" w14:textId="77777777" w:rsidR="001E2DF7" w:rsidRDefault="001E2DF7" w:rsidP="00B409A1">
            <w:pPr>
              <w:pStyle w:val="TableParagraph"/>
              <w:spacing w:line="222" w:lineRule="exact"/>
              <w:ind w:left="102"/>
              <w:rPr>
                <w:rFonts w:ascii="Calibri"/>
                <w:sz w:val="20"/>
              </w:rPr>
            </w:pPr>
            <w:r>
              <w:rPr>
                <w:rFonts w:ascii="Calibri"/>
                <w:sz w:val="20"/>
              </w:rPr>
              <w:t>No</w:t>
            </w:r>
          </w:p>
        </w:tc>
      </w:tr>
      <w:tr w:rsidR="001E2DF7" w14:paraId="47603797" w14:textId="77777777" w:rsidTr="007629A1">
        <w:trPr>
          <w:trHeight w:val="240"/>
        </w:trPr>
        <w:tc>
          <w:tcPr>
            <w:tcW w:w="1277" w:type="dxa"/>
            <w:vMerge/>
            <w:tcBorders>
              <w:top w:val="nil"/>
            </w:tcBorders>
          </w:tcPr>
          <w:p w14:paraId="2815B7C3" w14:textId="77777777" w:rsidR="001E2DF7" w:rsidRDefault="001E2DF7" w:rsidP="00B409A1">
            <w:pPr>
              <w:rPr>
                <w:sz w:val="2"/>
                <w:szCs w:val="2"/>
              </w:rPr>
            </w:pPr>
          </w:p>
        </w:tc>
        <w:tc>
          <w:tcPr>
            <w:tcW w:w="4394" w:type="dxa"/>
          </w:tcPr>
          <w:p w14:paraId="64377853" w14:textId="77777777" w:rsidR="001E2DF7" w:rsidRDefault="001E2DF7" w:rsidP="00B409A1">
            <w:pPr>
              <w:pStyle w:val="TableParagraph"/>
              <w:spacing w:before="1" w:line="223" w:lineRule="exact"/>
              <w:rPr>
                <w:rFonts w:ascii="Calibri"/>
                <w:sz w:val="20"/>
              </w:rPr>
            </w:pPr>
            <w:r>
              <w:rPr>
                <w:rFonts w:ascii="Calibri"/>
                <w:sz w:val="20"/>
              </w:rPr>
              <w:t>Lot 2</w:t>
            </w:r>
          </w:p>
        </w:tc>
        <w:tc>
          <w:tcPr>
            <w:tcW w:w="1559" w:type="dxa"/>
          </w:tcPr>
          <w:p w14:paraId="3F0FE2BE" w14:textId="77777777" w:rsidR="001E2DF7" w:rsidRDefault="001E2DF7" w:rsidP="00B409A1">
            <w:pPr>
              <w:pStyle w:val="TableParagraph"/>
              <w:spacing w:before="1" w:line="223" w:lineRule="exact"/>
              <w:rPr>
                <w:rFonts w:ascii="Calibri"/>
                <w:sz w:val="20"/>
              </w:rPr>
            </w:pPr>
            <w:r>
              <w:rPr>
                <w:rFonts w:ascii="Calibri"/>
                <w:sz w:val="20"/>
              </w:rPr>
              <w:t>100</w:t>
            </w:r>
          </w:p>
        </w:tc>
        <w:tc>
          <w:tcPr>
            <w:tcW w:w="1114" w:type="dxa"/>
          </w:tcPr>
          <w:p w14:paraId="5F7A5DA7" w14:textId="77777777" w:rsidR="001E2DF7" w:rsidRDefault="001E2DF7" w:rsidP="00B409A1">
            <w:pPr>
              <w:pStyle w:val="TableParagraph"/>
              <w:spacing w:before="1" w:line="223" w:lineRule="exact"/>
              <w:ind w:left="102"/>
              <w:rPr>
                <w:rFonts w:ascii="Calibri"/>
                <w:sz w:val="20"/>
              </w:rPr>
            </w:pPr>
            <w:r>
              <w:rPr>
                <w:rFonts w:ascii="Calibri"/>
                <w:sz w:val="20"/>
              </w:rPr>
              <w:t>No</w:t>
            </w:r>
          </w:p>
        </w:tc>
        <w:tc>
          <w:tcPr>
            <w:tcW w:w="3139" w:type="dxa"/>
          </w:tcPr>
          <w:p w14:paraId="7467A635" w14:textId="77777777" w:rsidR="001E2DF7" w:rsidRDefault="001E2DF7" w:rsidP="00B409A1">
            <w:pPr>
              <w:pStyle w:val="TableParagraph"/>
              <w:spacing w:before="1" w:line="223" w:lineRule="exact"/>
              <w:ind w:left="102"/>
              <w:rPr>
                <w:rFonts w:ascii="Calibri"/>
                <w:sz w:val="20"/>
              </w:rPr>
            </w:pPr>
            <w:r>
              <w:rPr>
                <w:rFonts w:ascii="Calibri"/>
                <w:sz w:val="20"/>
              </w:rPr>
              <w:t>No</w:t>
            </w:r>
          </w:p>
        </w:tc>
      </w:tr>
      <w:tr w:rsidR="001E2DF7" w14:paraId="0CA61064" w14:textId="77777777" w:rsidTr="007629A1">
        <w:trPr>
          <w:trHeight w:val="517"/>
        </w:trPr>
        <w:tc>
          <w:tcPr>
            <w:tcW w:w="1277" w:type="dxa"/>
            <w:vMerge/>
            <w:tcBorders>
              <w:top w:val="nil"/>
            </w:tcBorders>
          </w:tcPr>
          <w:p w14:paraId="51416AE7" w14:textId="77777777" w:rsidR="001E2DF7" w:rsidRDefault="001E2DF7" w:rsidP="00B409A1">
            <w:pPr>
              <w:rPr>
                <w:sz w:val="2"/>
                <w:szCs w:val="2"/>
              </w:rPr>
            </w:pPr>
          </w:p>
        </w:tc>
        <w:tc>
          <w:tcPr>
            <w:tcW w:w="4394" w:type="dxa"/>
          </w:tcPr>
          <w:p w14:paraId="55AF11F5" w14:textId="77777777" w:rsidR="001E2DF7" w:rsidRDefault="001E2DF7" w:rsidP="00B409A1">
            <w:pPr>
              <w:pStyle w:val="TableParagraph"/>
              <w:spacing w:line="243" w:lineRule="exact"/>
              <w:rPr>
                <w:rFonts w:ascii="Calibri"/>
                <w:sz w:val="20"/>
              </w:rPr>
            </w:pPr>
            <w:r>
              <w:rPr>
                <w:rFonts w:ascii="Calibri"/>
                <w:sz w:val="20"/>
              </w:rPr>
              <w:t>Lot 3</w:t>
            </w:r>
          </w:p>
        </w:tc>
        <w:tc>
          <w:tcPr>
            <w:tcW w:w="1559" w:type="dxa"/>
          </w:tcPr>
          <w:p w14:paraId="3850CF60" w14:textId="77777777" w:rsidR="001E2DF7" w:rsidRDefault="001E2DF7" w:rsidP="00B409A1">
            <w:pPr>
              <w:pStyle w:val="TableParagraph"/>
              <w:spacing w:line="243" w:lineRule="exact"/>
              <w:rPr>
                <w:rFonts w:ascii="Calibri"/>
                <w:sz w:val="20"/>
              </w:rPr>
            </w:pPr>
            <w:r>
              <w:rPr>
                <w:rFonts w:ascii="Calibri"/>
                <w:sz w:val="20"/>
              </w:rPr>
              <w:t>250</w:t>
            </w:r>
          </w:p>
        </w:tc>
        <w:tc>
          <w:tcPr>
            <w:tcW w:w="1114" w:type="dxa"/>
          </w:tcPr>
          <w:p w14:paraId="0F307AE2" w14:textId="77777777" w:rsidR="001E2DF7" w:rsidRDefault="001E2DF7" w:rsidP="00B409A1">
            <w:pPr>
              <w:pStyle w:val="TableParagraph"/>
              <w:spacing w:line="243" w:lineRule="exact"/>
              <w:ind w:left="102"/>
              <w:rPr>
                <w:rFonts w:ascii="Calibri"/>
                <w:sz w:val="20"/>
              </w:rPr>
            </w:pPr>
            <w:r>
              <w:rPr>
                <w:rFonts w:ascii="Calibri"/>
                <w:sz w:val="20"/>
              </w:rPr>
              <w:t>No</w:t>
            </w:r>
          </w:p>
        </w:tc>
        <w:tc>
          <w:tcPr>
            <w:tcW w:w="3139" w:type="dxa"/>
          </w:tcPr>
          <w:p w14:paraId="51E6DDE2" w14:textId="77777777" w:rsidR="001E2DF7" w:rsidRDefault="001E2DF7" w:rsidP="00B409A1">
            <w:pPr>
              <w:pStyle w:val="TableParagraph"/>
              <w:ind w:left="102" w:right="284"/>
              <w:rPr>
                <w:rFonts w:ascii="Calibri" w:hAnsi="Calibri"/>
                <w:sz w:val="20"/>
              </w:rPr>
            </w:pPr>
            <w:r>
              <w:rPr>
                <w:rFonts w:ascii="Calibri" w:hAnsi="Calibri"/>
                <w:sz w:val="20"/>
              </w:rPr>
              <w:t>Yes – additional accreditation</w:t>
            </w:r>
          </w:p>
          <w:p w14:paraId="20DB0045" w14:textId="77777777" w:rsidR="001E2DF7" w:rsidRDefault="001E2DF7" w:rsidP="00B409A1">
            <w:pPr>
              <w:pStyle w:val="TableParagraph"/>
              <w:spacing w:before="1" w:line="225" w:lineRule="exact"/>
              <w:ind w:left="102"/>
              <w:rPr>
                <w:rFonts w:ascii="Calibri"/>
                <w:sz w:val="20"/>
              </w:rPr>
            </w:pPr>
            <w:r>
              <w:rPr>
                <w:rFonts w:ascii="Calibri"/>
                <w:sz w:val="20"/>
              </w:rPr>
              <w:t>required</w:t>
            </w:r>
          </w:p>
        </w:tc>
      </w:tr>
      <w:tr w:rsidR="001E2DF7" w14:paraId="08169FD0" w14:textId="77777777" w:rsidTr="007629A1">
        <w:trPr>
          <w:trHeight w:val="411"/>
        </w:trPr>
        <w:tc>
          <w:tcPr>
            <w:tcW w:w="1277" w:type="dxa"/>
            <w:vMerge/>
            <w:tcBorders>
              <w:top w:val="nil"/>
            </w:tcBorders>
          </w:tcPr>
          <w:p w14:paraId="59CF7E14" w14:textId="77777777" w:rsidR="001E2DF7" w:rsidRDefault="001E2DF7" w:rsidP="00B409A1">
            <w:pPr>
              <w:rPr>
                <w:sz w:val="2"/>
                <w:szCs w:val="2"/>
              </w:rPr>
            </w:pPr>
          </w:p>
        </w:tc>
        <w:tc>
          <w:tcPr>
            <w:tcW w:w="4394" w:type="dxa"/>
          </w:tcPr>
          <w:p w14:paraId="0824B67C" w14:textId="77777777" w:rsidR="001E2DF7" w:rsidRDefault="001E2DF7" w:rsidP="00B409A1">
            <w:pPr>
              <w:pStyle w:val="TableParagraph"/>
              <w:spacing w:line="243" w:lineRule="exact"/>
              <w:rPr>
                <w:rFonts w:ascii="Calibri"/>
                <w:sz w:val="20"/>
              </w:rPr>
            </w:pPr>
            <w:r>
              <w:rPr>
                <w:rFonts w:ascii="Calibri"/>
                <w:sz w:val="20"/>
              </w:rPr>
              <w:t>Above Lot 3</w:t>
            </w:r>
          </w:p>
        </w:tc>
        <w:tc>
          <w:tcPr>
            <w:tcW w:w="1559" w:type="dxa"/>
          </w:tcPr>
          <w:p w14:paraId="03797823" w14:textId="77777777" w:rsidR="001E2DF7" w:rsidRDefault="001E2DF7" w:rsidP="00B409A1">
            <w:pPr>
              <w:pStyle w:val="TableParagraph"/>
              <w:spacing w:line="243" w:lineRule="exact"/>
              <w:rPr>
                <w:rFonts w:ascii="Calibri"/>
                <w:sz w:val="20"/>
              </w:rPr>
            </w:pPr>
            <w:r>
              <w:rPr>
                <w:rFonts w:ascii="Calibri"/>
                <w:sz w:val="20"/>
              </w:rPr>
              <w:t>Over 250</w:t>
            </w:r>
          </w:p>
        </w:tc>
        <w:tc>
          <w:tcPr>
            <w:tcW w:w="1114" w:type="dxa"/>
          </w:tcPr>
          <w:p w14:paraId="660275F5" w14:textId="77777777" w:rsidR="001E2DF7" w:rsidRDefault="001E2DF7" w:rsidP="00B409A1">
            <w:pPr>
              <w:pStyle w:val="TableParagraph"/>
              <w:spacing w:line="243" w:lineRule="exact"/>
              <w:ind w:left="102"/>
              <w:rPr>
                <w:rFonts w:ascii="Calibri"/>
                <w:sz w:val="20"/>
              </w:rPr>
            </w:pPr>
            <w:r>
              <w:rPr>
                <w:rFonts w:ascii="Calibri"/>
                <w:sz w:val="20"/>
              </w:rPr>
              <w:t>Yes</w:t>
            </w:r>
          </w:p>
        </w:tc>
        <w:tc>
          <w:tcPr>
            <w:tcW w:w="3139" w:type="dxa"/>
          </w:tcPr>
          <w:p w14:paraId="07742E65" w14:textId="77777777" w:rsidR="001E2DF7" w:rsidRDefault="001E2DF7" w:rsidP="00B409A1">
            <w:pPr>
              <w:pStyle w:val="TableParagraph"/>
              <w:ind w:left="102"/>
              <w:rPr>
                <w:rFonts w:ascii="Calibri"/>
                <w:sz w:val="20"/>
              </w:rPr>
            </w:pPr>
            <w:r>
              <w:rPr>
                <w:rFonts w:ascii="Calibri"/>
                <w:sz w:val="20"/>
              </w:rPr>
              <w:t>Yes - additional accreditation</w:t>
            </w:r>
          </w:p>
          <w:p w14:paraId="0F248BDF" w14:textId="77777777" w:rsidR="001E2DF7" w:rsidRDefault="001E2DF7" w:rsidP="00B409A1">
            <w:pPr>
              <w:pStyle w:val="TableParagraph"/>
              <w:spacing w:before="1" w:line="224" w:lineRule="exact"/>
              <w:ind w:left="102"/>
              <w:rPr>
                <w:rFonts w:ascii="Calibri"/>
                <w:sz w:val="20"/>
              </w:rPr>
            </w:pPr>
            <w:r>
              <w:rPr>
                <w:rFonts w:ascii="Calibri"/>
                <w:sz w:val="20"/>
              </w:rPr>
              <w:t>required</w:t>
            </w:r>
          </w:p>
        </w:tc>
      </w:tr>
      <w:tr w:rsidR="001E2DF7" w14:paraId="2B723E3E" w14:textId="77777777" w:rsidTr="007629A1">
        <w:trPr>
          <w:trHeight w:val="240"/>
        </w:trPr>
        <w:tc>
          <w:tcPr>
            <w:tcW w:w="1277" w:type="dxa"/>
            <w:vMerge w:val="restart"/>
          </w:tcPr>
          <w:p w14:paraId="66FDB212" w14:textId="77777777" w:rsidR="001E2DF7" w:rsidRDefault="001E2DF7" w:rsidP="00B409A1">
            <w:pPr>
              <w:pStyle w:val="TableParagraph"/>
              <w:spacing w:line="243" w:lineRule="exact"/>
              <w:rPr>
                <w:rFonts w:ascii="Calibri"/>
                <w:sz w:val="20"/>
              </w:rPr>
            </w:pPr>
            <w:r>
              <w:rPr>
                <w:rFonts w:ascii="Calibri"/>
                <w:sz w:val="20"/>
              </w:rPr>
              <w:t>Housing</w:t>
            </w:r>
          </w:p>
        </w:tc>
        <w:tc>
          <w:tcPr>
            <w:tcW w:w="4394" w:type="dxa"/>
          </w:tcPr>
          <w:p w14:paraId="2DA54FA1" w14:textId="77777777" w:rsidR="001E2DF7" w:rsidRDefault="001E2DF7" w:rsidP="00B409A1">
            <w:pPr>
              <w:pStyle w:val="TableParagraph"/>
              <w:spacing w:line="224" w:lineRule="exact"/>
              <w:rPr>
                <w:rFonts w:ascii="Calibri"/>
                <w:sz w:val="20"/>
              </w:rPr>
            </w:pPr>
            <w:r>
              <w:rPr>
                <w:rFonts w:ascii="Calibri"/>
                <w:sz w:val="20"/>
              </w:rPr>
              <w:t>Lot 1</w:t>
            </w:r>
          </w:p>
        </w:tc>
        <w:tc>
          <w:tcPr>
            <w:tcW w:w="1559" w:type="dxa"/>
          </w:tcPr>
          <w:p w14:paraId="39ECAD54" w14:textId="77777777" w:rsidR="001E2DF7" w:rsidRDefault="001E2DF7" w:rsidP="00B409A1">
            <w:pPr>
              <w:pStyle w:val="TableParagraph"/>
              <w:spacing w:line="224" w:lineRule="exact"/>
              <w:rPr>
                <w:rFonts w:ascii="Calibri"/>
                <w:sz w:val="20"/>
              </w:rPr>
            </w:pPr>
            <w:r>
              <w:rPr>
                <w:rFonts w:ascii="Calibri"/>
                <w:sz w:val="20"/>
              </w:rPr>
              <w:t>100</w:t>
            </w:r>
          </w:p>
        </w:tc>
        <w:tc>
          <w:tcPr>
            <w:tcW w:w="1114" w:type="dxa"/>
          </w:tcPr>
          <w:p w14:paraId="47C24130" w14:textId="77777777" w:rsidR="001E2DF7" w:rsidRDefault="001E2DF7" w:rsidP="00B409A1">
            <w:pPr>
              <w:pStyle w:val="TableParagraph"/>
              <w:spacing w:line="224" w:lineRule="exact"/>
              <w:ind w:left="102"/>
              <w:rPr>
                <w:rFonts w:ascii="Calibri"/>
                <w:sz w:val="20"/>
              </w:rPr>
            </w:pPr>
            <w:r>
              <w:rPr>
                <w:rFonts w:ascii="Calibri"/>
                <w:sz w:val="20"/>
              </w:rPr>
              <w:t>No</w:t>
            </w:r>
          </w:p>
        </w:tc>
        <w:tc>
          <w:tcPr>
            <w:tcW w:w="3139" w:type="dxa"/>
          </w:tcPr>
          <w:p w14:paraId="024BA7D5" w14:textId="77777777" w:rsidR="001E2DF7" w:rsidRDefault="001E2DF7" w:rsidP="00B409A1">
            <w:pPr>
              <w:pStyle w:val="TableParagraph"/>
              <w:spacing w:line="224" w:lineRule="exact"/>
              <w:ind w:left="102"/>
              <w:rPr>
                <w:rFonts w:ascii="Calibri"/>
                <w:sz w:val="20"/>
              </w:rPr>
            </w:pPr>
            <w:r>
              <w:rPr>
                <w:rFonts w:ascii="Calibri"/>
                <w:sz w:val="20"/>
              </w:rPr>
              <w:t>No</w:t>
            </w:r>
          </w:p>
        </w:tc>
      </w:tr>
      <w:tr w:rsidR="001E2DF7" w14:paraId="0FBF6908" w14:textId="77777777" w:rsidTr="007629A1">
        <w:trPr>
          <w:trHeight w:val="676"/>
        </w:trPr>
        <w:tc>
          <w:tcPr>
            <w:tcW w:w="1277" w:type="dxa"/>
            <w:vMerge/>
            <w:tcBorders>
              <w:top w:val="nil"/>
            </w:tcBorders>
          </w:tcPr>
          <w:p w14:paraId="58CA9C47" w14:textId="77777777" w:rsidR="001E2DF7" w:rsidRDefault="001E2DF7" w:rsidP="00B409A1">
            <w:pPr>
              <w:rPr>
                <w:sz w:val="2"/>
                <w:szCs w:val="2"/>
              </w:rPr>
            </w:pPr>
          </w:p>
        </w:tc>
        <w:tc>
          <w:tcPr>
            <w:tcW w:w="4394" w:type="dxa"/>
          </w:tcPr>
          <w:p w14:paraId="6FDA32C5" w14:textId="77777777" w:rsidR="001E2DF7" w:rsidRDefault="001E2DF7" w:rsidP="00B409A1">
            <w:pPr>
              <w:pStyle w:val="TableParagraph"/>
              <w:spacing w:line="243" w:lineRule="exact"/>
              <w:rPr>
                <w:rFonts w:ascii="Calibri"/>
                <w:sz w:val="20"/>
              </w:rPr>
            </w:pPr>
            <w:r>
              <w:rPr>
                <w:rFonts w:ascii="Calibri"/>
                <w:sz w:val="20"/>
              </w:rPr>
              <w:t>Lot 2</w:t>
            </w:r>
          </w:p>
        </w:tc>
        <w:tc>
          <w:tcPr>
            <w:tcW w:w="1559" w:type="dxa"/>
          </w:tcPr>
          <w:p w14:paraId="20DAADBF" w14:textId="77777777" w:rsidR="001E2DF7" w:rsidRDefault="001E2DF7" w:rsidP="00B409A1">
            <w:pPr>
              <w:pStyle w:val="TableParagraph"/>
              <w:spacing w:line="243" w:lineRule="exact"/>
              <w:rPr>
                <w:rFonts w:ascii="Calibri"/>
                <w:sz w:val="20"/>
              </w:rPr>
            </w:pPr>
            <w:r>
              <w:rPr>
                <w:rFonts w:ascii="Calibri"/>
                <w:sz w:val="20"/>
              </w:rPr>
              <w:t>250</w:t>
            </w:r>
          </w:p>
        </w:tc>
        <w:tc>
          <w:tcPr>
            <w:tcW w:w="1114" w:type="dxa"/>
          </w:tcPr>
          <w:p w14:paraId="00484DBC" w14:textId="77777777" w:rsidR="001E2DF7" w:rsidRDefault="001E2DF7" w:rsidP="00B409A1">
            <w:pPr>
              <w:pStyle w:val="TableParagraph"/>
              <w:spacing w:line="243" w:lineRule="exact"/>
              <w:ind w:left="102"/>
              <w:rPr>
                <w:rFonts w:ascii="Calibri"/>
                <w:sz w:val="20"/>
              </w:rPr>
            </w:pPr>
            <w:r>
              <w:rPr>
                <w:rFonts w:ascii="Calibri"/>
                <w:sz w:val="20"/>
              </w:rPr>
              <w:t>No</w:t>
            </w:r>
          </w:p>
        </w:tc>
        <w:tc>
          <w:tcPr>
            <w:tcW w:w="3139" w:type="dxa"/>
          </w:tcPr>
          <w:p w14:paraId="70DAD480" w14:textId="77777777" w:rsidR="001E2DF7" w:rsidRDefault="001E2DF7" w:rsidP="00B409A1">
            <w:pPr>
              <w:pStyle w:val="TableParagraph"/>
              <w:ind w:left="102" w:right="284"/>
              <w:rPr>
                <w:rFonts w:ascii="Calibri" w:hAnsi="Calibri"/>
                <w:sz w:val="20"/>
              </w:rPr>
            </w:pPr>
            <w:r>
              <w:rPr>
                <w:rFonts w:ascii="Calibri" w:hAnsi="Calibri"/>
                <w:sz w:val="20"/>
              </w:rPr>
              <w:t>Yes – increased Authorised Litigator</w:t>
            </w:r>
          </w:p>
          <w:p w14:paraId="16171CFA" w14:textId="77777777" w:rsidR="001E2DF7" w:rsidRDefault="001E2DF7" w:rsidP="00B409A1">
            <w:pPr>
              <w:pStyle w:val="TableParagraph"/>
              <w:spacing w:before="1" w:line="225" w:lineRule="exact"/>
              <w:ind w:left="102"/>
              <w:rPr>
                <w:rFonts w:ascii="Calibri"/>
                <w:sz w:val="20"/>
              </w:rPr>
            </w:pPr>
            <w:r>
              <w:rPr>
                <w:rFonts w:ascii="Calibri"/>
                <w:sz w:val="20"/>
              </w:rPr>
              <w:t>requirements</w:t>
            </w:r>
          </w:p>
        </w:tc>
      </w:tr>
      <w:tr w:rsidR="001E2DF7" w14:paraId="4F92946A" w14:textId="77777777" w:rsidTr="007629A1">
        <w:trPr>
          <w:trHeight w:val="960"/>
        </w:trPr>
        <w:tc>
          <w:tcPr>
            <w:tcW w:w="1277" w:type="dxa"/>
            <w:vMerge/>
            <w:tcBorders>
              <w:top w:val="nil"/>
            </w:tcBorders>
          </w:tcPr>
          <w:p w14:paraId="3D2D12F3" w14:textId="77777777" w:rsidR="001E2DF7" w:rsidRDefault="001E2DF7" w:rsidP="00B409A1">
            <w:pPr>
              <w:rPr>
                <w:sz w:val="2"/>
                <w:szCs w:val="2"/>
              </w:rPr>
            </w:pPr>
          </w:p>
        </w:tc>
        <w:tc>
          <w:tcPr>
            <w:tcW w:w="4394" w:type="dxa"/>
          </w:tcPr>
          <w:p w14:paraId="053CD337" w14:textId="77777777" w:rsidR="001E2DF7" w:rsidRDefault="001E2DF7" w:rsidP="00B409A1">
            <w:pPr>
              <w:pStyle w:val="TableParagraph"/>
              <w:spacing w:line="243" w:lineRule="exact"/>
              <w:rPr>
                <w:rFonts w:ascii="Calibri"/>
                <w:sz w:val="20"/>
              </w:rPr>
            </w:pPr>
            <w:r>
              <w:rPr>
                <w:rFonts w:ascii="Calibri"/>
                <w:sz w:val="20"/>
              </w:rPr>
              <w:t>Above Lot 2</w:t>
            </w:r>
          </w:p>
        </w:tc>
        <w:tc>
          <w:tcPr>
            <w:tcW w:w="1559" w:type="dxa"/>
          </w:tcPr>
          <w:p w14:paraId="097F9DC8" w14:textId="77777777" w:rsidR="001E2DF7" w:rsidRDefault="001E2DF7" w:rsidP="00B409A1">
            <w:pPr>
              <w:pStyle w:val="TableParagraph"/>
              <w:spacing w:line="243" w:lineRule="exact"/>
              <w:rPr>
                <w:rFonts w:ascii="Calibri"/>
                <w:sz w:val="20"/>
              </w:rPr>
            </w:pPr>
            <w:r>
              <w:rPr>
                <w:rFonts w:ascii="Calibri"/>
                <w:sz w:val="20"/>
              </w:rPr>
              <w:t>Over 250</w:t>
            </w:r>
          </w:p>
        </w:tc>
        <w:tc>
          <w:tcPr>
            <w:tcW w:w="1114" w:type="dxa"/>
          </w:tcPr>
          <w:p w14:paraId="7FD4A8FD" w14:textId="77777777" w:rsidR="001E2DF7" w:rsidRDefault="001E2DF7" w:rsidP="00B409A1">
            <w:pPr>
              <w:pStyle w:val="TableParagraph"/>
              <w:spacing w:line="243" w:lineRule="exact"/>
              <w:ind w:left="102"/>
              <w:rPr>
                <w:rFonts w:ascii="Calibri"/>
                <w:sz w:val="20"/>
              </w:rPr>
            </w:pPr>
            <w:r>
              <w:rPr>
                <w:rFonts w:ascii="Calibri"/>
                <w:sz w:val="20"/>
              </w:rPr>
              <w:t>Yes</w:t>
            </w:r>
          </w:p>
        </w:tc>
        <w:tc>
          <w:tcPr>
            <w:tcW w:w="3139" w:type="dxa"/>
          </w:tcPr>
          <w:p w14:paraId="1C63FFFA" w14:textId="77777777" w:rsidR="001E2DF7" w:rsidRDefault="001E2DF7" w:rsidP="00B409A1">
            <w:pPr>
              <w:pStyle w:val="TableParagraph"/>
              <w:ind w:left="102" w:right="284"/>
              <w:rPr>
                <w:rFonts w:ascii="Calibri" w:hAnsi="Calibri"/>
                <w:sz w:val="20"/>
              </w:rPr>
            </w:pPr>
            <w:r>
              <w:rPr>
                <w:rFonts w:ascii="Calibri" w:hAnsi="Calibri"/>
                <w:sz w:val="20"/>
              </w:rPr>
              <w:t>Yes – increased Authorised Litigator</w:t>
            </w:r>
          </w:p>
          <w:p w14:paraId="435FDC48" w14:textId="77777777" w:rsidR="001E2DF7" w:rsidRDefault="001E2DF7" w:rsidP="00B409A1">
            <w:pPr>
              <w:pStyle w:val="TableParagraph"/>
              <w:spacing w:before="1" w:line="224" w:lineRule="exact"/>
              <w:ind w:left="102"/>
              <w:rPr>
                <w:rFonts w:ascii="Calibri"/>
                <w:sz w:val="20"/>
              </w:rPr>
            </w:pPr>
            <w:r>
              <w:rPr>
                <w:rFonts w:ascii="Calibri"/>
                <w:sz w:val="20"/>
              </w:rPr>
              <w:t>requirements</w:t>
            </w:r>
          </w:p>
        </w:tc>
      </w:tr>
      <w:tr w:rsidR="001E2DF7" w14:paraId="67659155" w14:textId="77777777" w:rsidTr="007629A1">
        <w:trPr>
          <w:trHeight w:val="240"/>
        </w:trPr>
        <w:tc>
          <w:tcPr>
            <w:tcW w:w="1277" w:type="dxa"/>
            <w:vMerge w:val="restart"/>
          </w:tcPr>
          <w:p w14:paraId="455493AE" w14:textId="77777777" w:rsidR="001E2DF7" w:rsidRDefault="001E2DF7" w:rsidP="00B409A1">
            <w:pPr>
              <w:pStyle w:val="TableParagraph"/>
              <w:ind w:right="172"/>
              <w:rPr>
                <w:rFonts w:ascii="Calibri"/>
                <w:sz w:val="20"/>
              </w:rPr>
            </w:pPr>
            <w:r>
              <w:rPr>
                <w:rFonts w:ascii="Calibri"/>
                <w:sz w:val="20"/>
              </w:rPr>
              <w:t>Immigration and Asylum</w:t>
            </w:r>
          </w:p>
        </w:tc>
        <w:tc>
          <w:tcPr>
            <w:tcW w:w="4394" w:type="dxa"/>
          </w:tcPr>
          <w:p w14:paraId="58B246A3" w14:textId="77777777" w:rsidR="001E2DF7" w:rsidRDefault="001E2DF7" w:rsidP="00B409A1">
            <w:pPr>
              <w:pStyle w:val="TableParagraph"/>
              <w:spacing w:line="224" w:lineRule="exact"/>
              <w:rPr>
                <w:rFonts w:ascii="Calibri"/>
                <w:sz w:val="20"/>
              </w:rPr>
            </w:pPr>
            <w:r>
              <w:rPr>
                <w:rFonts w:ascii="Calibri"/>
                <w:sz w:val="20"/>
              </w:rPr>
              <w:t>Lot 1</w:t>
            </w:r>
          </w:p>
        </w:tc>
        <w:tc>
          <w:tcPr>
            <w:tcW w:w="1559" w:type="dxa"/>
          </w:tcPr>
          <w:p w14:paraId="4A4CBF8B" w14:textId="77777777" w:rsidR="001E2DF7" w:rsidRDefault="001E2DF7" w:rsidP="00B409A1">
            <w:pPr>
              <w:pStyle w:val="TableParagraph"/>
              <w:spacing w:line="224" w:lineRule="exact"/>
              <w:rPr>
                <w:rFonts w:ascii="Calibri"/>
                <w:sz w:val="20"/>
              </w:rPr>
            </w:pPr>
            <w:r>
              <w:rPr>
                <w:rFonts w:ascii="Calibri"/>
                <w:sz w:val="20"/>
              </w:rPr>
              <w:t>150</w:t>
            </w:r>
          </w:p>
        </w:tc>
        <w:tc>
          <w:tcPr>
            <w:tcW w:w="1114" w:type="dxa"/>
          </w:tcPr>
          <w:p w14:paraId="7D5D19A6" w14:textId="77777777" w:rsidR="001E2DF7" w:rsidRDefault="001E2DF7" w:rsidP="00B409A1">
            <w:pPr>
              <w:pStyle w:val="TableParagraph"/>
              <w:spacing w:line="224" w:lineRule="exact"/>
              <w:ind w:left="102"/>
              <w:rPr>
                <w:rFonts w:ascii="Calibri"/>
                <w:sz w:val="20"/>
              </w:rPr>
            </w:pPr>
            <w:r>
              <w:rPr>
                <w:rFonts w:ascii="Calibri"/>
                <w:sz w:val="20"/>
              </w:rPr>
              <w:t>No</w:t>
            </w:r>
          </w:p>
        </w:tc>
        <w:tc>
          <w:tcPr>
            <w:tcW w:w="3139" w:type="dxa"/>
          </w:tcPr>
          <w:p w14:paraId="77ADF38E" w14:textId="77777777" w:rsidR="001E2DF7" w:rsidRDefault="001E2DF7" w:rsidP="00B409A1">
            <w:pPr>
              <w:pStyle w:val="TableParagraph"/>
              <w:spacing w:line="224" w:lineRule="exact"/>
              <w:ind w:left="102"/>
              <w:rPr>
                <w:rFonts w:ascii="Calibri"/>
                <w:sz w:val="20"/>
              </w:rPr>
            </w:pPr>
            <w:r>
              <w:rPr>
                <w:rFonts w:ascii="Calibri"/>
                <w:sz w:val="20"/>
              </w:rPr>
              <w:t>No</w:t>
            </w:r>
          </w:p>
        </w:tc>
      </w:tr>
      <w:tr w:rsidR="001E2DF7" w14:paraId="5E81D163" w14:textId="77777777" w:rsidTr="007629A1">
        <w:trPr>
          <w:trHeight w:val="705"/>
        </w:trPr>
        <w:tc>
          <w:tcPr>
            <w:tcW w:w="1277" w:type="dxa"/>
            <w:vMerge/>
            <w:tcBorders>
              <w:top w:val="nil"/>
            </w:tcBorders>
          </w:tcPr>
          <w:p w14:paraId="3E8568BC" w14:textId="77777777" w:rsidR="001E2DF7" w:rsidRDefault="001E2DF7" w:rsidP="00B409A1">
            <w:pPr>
              <w:rPr>
                <w:sz w:val="2"/>
                <w:szCs w:val="2"/>
              </w:rPr>
            </w:pPr>
          </w:p>
        </w:tc>
        <w:tc>
          <w:tcPr>
            <w:tcW w:w="4394" w:type="dxa"/>
          </w:tcPr>
          <w:p w14:paraId="1F0FBBA2" w14:textId="77777777" w:rsidR="001E2DF7" w:rsidRDefault="001E2DF7" w:rsidP="00B409A1">
            <w:pPr>
              <w:pStyle w:val="TableParagraph"/>
              <w:spacing w:line="243" w:lineRule="exact"/>
              <w:rPr>
                <w:rFonts w:ascii="Calibri"/>
                <w:sz w:val="20"/>
              </w:rPr>
            </w:pPr>
            <w:r>
              <w:rPr>
                <w:rFonts w:ascii="Calibri"/>
                <w:sz w:val="20"/>
              </w:rPr>
              <w:t>Lot 2</w:t>
            </w:r>
          </w:p>
          <w:p w14:paraId="399DE655" w14:textId="77777777" w:rsidR="001E2DF7" w:rsidRDefault="001E2DF7" w:rsidP="007629A1">
            <w:pPr>
              <w:pStyle w:val="TableParagraph"/>
              <w:spacing w:before="1"/>
              <w:rPr>
                <w:rFonts w:ascii="Calibri"/>
                <w:sz w:val="20"/>
              </w:rPr>
            </w:pPr>
            <w:r>
              <w:rPr>
                <w:rFonts w:ascii="Calibri"/>
                <w:sz w:val="20"/>
              </w:rPr>
              <w:t>Note, Individual Bids in this Lot may tender for Detained Duty Advice work at IRCs</w:t>
            </w:r>
          </w:p>
        </w:tc>
        <w:tc>
          <w:tcPr>
            <w:tcW w:w="1559" w:type="dxa"/>
          </w:tcPr>
          <w:p w14:paraId="799A125B" w14:textId="77777777" w:rsidR="001E2DF7" w:rsidRDefault="001E2DF7" w:rsidP="00B409A1">
            <w:pPr>
              <w:pStyle w:val="TableParagraph"/>
              <w:spacing w:line="243" w:lineRule="exact"/>
              <w:rPr>
                <w:rFonts w:ascii="Calibri"/>
                <w:sz w:val="20"/>
              </w:rPr>
            </w:pPr>
            <w:r>
              <w:rPr>
                <w:rFonts w:ascii="Calibri"/>
                <w:sz w:val="20"/>
              </w:rPr>
              <w:t>300</w:t>
            </w:r>
          </w:p>
        </w:tc>
        <w:tc>
          <w:tcPr>
            <w:tcW w:w="1114" w:type="dxa"/>
          </w:tcPr>
          <w:p w14:paraId="26BF3834" w14:textId="77777777" w:rsidR="001E2DF7" w:rsidRDefault="001E2DF7" w:rsidP="00B409A1">
            <w:pPr>
              <w:pStyle w:val="TableParagraph"/>
              <w:spacing w:line="243" w:lineRule="exact"/>
              <w:ind w:left="102"/>
              <w:rPr>
                <w:rFonts w:ascii="Calibri"/>
                <w:sz w:val="20"/>
              </w:rPr>
            </w:pPr>
            <w:r>
              <w:rPr>
                <w:rFonts w:ascii="Calibri"/>
                <w:sz w:val="20"/>
              </w:rPr>
              <w:t>No</w:t>
            </w:r>
          </w:p>
        </w:tc>
        <w:tc>
          <w:tcPr>
            <w:tcW w:w="3139" w:type="dxa"/>
          </w:tcPr>
          <w:p w14:paraId="10DBE235" w14:textId="77777777" w:rsidR="001E2DF7" w:rsidRDefault="001E2DF7" w:rsidP="00B409A1">
            <w:pPr>
              <w:pStyle w:val="TableParagraph"/>
              <w:ind w:left="102" w:right="101"/>
              <w:jc w:val="both"/>
              <w:rPr>
                <w:rFonts w:ascii="Calibri" w:hAnsi="Calibri"/>
                <w:sz w:val="20"/>
              </w:rPr>
            </w:pPr>
            <w:r>
              <w:rPr>
                <w:rFonts w:ascii="Calibri" w:hAnsi="Calibri"/>
                <w:sz w:val="20"/>
              </w:rPr>
              <w:t>Yes – required to undertake full range of work</w:t>
            </w:r>
          </w:p>
        </w:tc>
      </w:tr>
      <w:tr w:rsidR="001E2DF7" w14:paraId="772FB998" w14:textId="77777777" w:rsidTr="007629A1">
        <w:trPr>
          <w:trHeight w:val="814"/>
        </w:trPr>
        <w:tc>
          <w:tcPr>
            <w:tcW w:w="1277" w:type="dxa"/>
            <w:vMerge/>
            <w:tcBorders>
              <w:top w:val="nil"/>
            </w:tcBorders>
          </w:tcPr>
          <w:p w14:paraId="354A9D67" w14:textId="77777777" w:rsidR="001E2DF7" w:rsidRDefault="001E2DF7" w:rsidP="00B409A1">
            <w:pPr>
              <w:rPr>
                <w:sz w:val="2"/>
                <w:szCs w:val="2"/>
              </w:rPr>
            </w:pPr>
          </w:p>
        </w:tc>
        <w:tc>
          <w:tcPr>
            <w:tcW w:w="4394" w:type="dxa"/>
          </w:tcPr>
          <w:p w14:paraId="0A855B7A" w14:textId="77777777" w:rsidR="001E2DF7" w:rsidRDefault="001E2DF7" w:rsidP="00B409A1">
            <w:pPr>
              <w:pStyle w:val="TableParagraph"/>
              <w:spacing w:line="243" w:lineRule="exact"/>
              <w:rPr>
                <w:rFonts w:ascii="Calibri"/>
                <w:sz w:val="20"/>
              </w:rPr>
            </w:pPr>
            <w:r>
              <w:rPr>
                <w:rFonts w:ascii="Calibri"/>
                <w:sz w:val="20"/>
              </w:rPr>
              <w:t>Above Lot 2</w:t>
            </w:r>
          </w:p>
          <w:p w14:paraId="39130FBE" w14:textId="77777777" w:rsidR="001E2DF7" w:rsidRDefault="001E2DF7" w:rsidP="007629A1">
            <w:pPr>
              <w:pStyle w:val="TableParagraph"/>
              <w:rPr>
                <w:rFonts w:ascii="Calibri"/>
                <w:sz w:val="20"/>
              </w:rPr>
            </w:pPr>
            <w:r>
              <w:rPr>
                <w:rFonts w:ascii="Calibri"/>
                <w:sz w:val="20"/>
              </w:rPr>
              <w:t>Note, Individual Bids in this Lot may tender for Detained Duty Advice work at IRCs</w:t>
            </w:r>
          </w:p>
        </w:tc>
        <w:tc>
          <w:tcPr>
            <w:tcW w:w="1559" w:type="dxa"/>
          </w:tcPr>
          <w:p w14:paraId="2B4FBD3F" w14:textId="77777777" w:rsidR="001E2DF7" w:rsidRDefault="001E2DF7" w:rsidP="00B409A1">
            <w:pPr>
              <w:pStyle w:val="TableParagraph"/>
              <w:spacing w:line="243" w:lineRule="exact"/>
              <w:rPr>
                <w:rFonts w:ascii="Calibri"/>
                <w:sz w:val="20"/>
              </w:rPr>
            </w:pPr>
            <w:r>
              <w:rPr>
                <w:rFonts w:ascii="Calibri"/>
                <w:sz w:val="20"/>
              </w:rPr>
              <w:t>Over 300</w:t>
            </w:r>
          </w:p>
        </w:tc>
        <w:tc>
          <w:tcPr>
            <w:tcW w:w="1114" w:type="dxa"/>
          </w:tcPr>
          <w:p w14:paraId="2D1BEFD5" w14:textId="77777777" w:rsidR="001E2DF7" w:rsidRDefault="001E2DF7" w:rsidP="00B409A1">
            <w:pPr>
              <w:pStyle w:val="TableParagraph"/>
              <w:spacing w:line="243" w:lineRule="exact"/>
              <w:ind w:left="102"/>
              <w:rPr>
                <w:rFonts w:ascii="Calibri"/>
                <w:sz w:val="20"/>
              </w:rPr>
            </w:pPr>
            <w:r>
              <w:rPr>
                <w:rFonts w:ascii="Calibri"/>
                <w:sz w:val="20"/>
              </w:rPr>
              <w:t>Yes</w:t>
            </w:r>
          </w:p>
        </w:tc>
        <w:tc>
          <w:tcPr>
            <w:tcW w:w="3139" w:type="dxa"/>
          </w:tcPr>
          <w:p w14:paraId="23CC7EF8" w14:textId="77777777" w:rsidR="001E2DF7" w:rsidRDefault="001E2DF7" w:rsidP="00B409A1">
            <w:pPr>
              <w:pStyle w:val="TableParagraph"/>
              <w:ind w:left="102" w:right="100"/>
              <w:jc w:val="both"/>
              <w:rPr>
                <w:rFonts w:ascii="Calibri"/>
                <w:sz w:val="20"/>
              </w:rPr>
            </w:pPr>
            <w:r>
              <w:rPr>
                <w:rFonts w:ascii="Calibri"/>
                <w:sz w:val="20"/>
              </w:rPr>
              <w:t>Yes - required to undertake full range of work</w:t>
            </w:r>
          </w:p>
        </w:tc>
      </w:tr>
      <w:tr w:rsidR="001E2DF7" w14:paraId="39F41525" w14:textId="77777777" w:rsidTr="007629A1">
        <w:trPr>
          <w:trHeight w:val="981"/>
        </w:trPr>
        <w:tc>
          <w:tcPr>
            <w:tcW w:w="1277" w:type="dxa"/>
            <w:vMerge/>
            <w:tcBorders>
              <w:top w:val="nil"/>
            </w:tcBorders>
          </w:tcPr>
          <w:p w14:paraId="7CF003B0" w14:textId="77777777" w:rsidR="001E2DF7" w:rsidRDefault="001E2DF7" w:rsidP="00B409A1">
            <w:pPr>
              <w:rPr>
                <w:sz w:val="2"/>
                <w:szCs w:val="2"/>
              </w:rPr>
            </w:pPr>
          </w:p>
        </w:tc>
        <w:tc>
          <w:tcPr>
            <w:tcW w:w="4394" w:type="dxa"/>
          </w:tcPr>
          <w:p w14:paraId="1ECA605D" w14:textId="77777777" w:rsidR="001E2DF7" w:rsidRDefault="001E2DF7" w:rsidP="00B409A1">
            <w:pPr>
              <w:pStyle w:val="TableParagraph"/>
              <w:spacing w:line="243" w:lineRule="exact"/>
              <w:rPr>
                <w:rFonts w:ascii="Calibri"/>
                <w:sz w:val="20"/>
              </w:rPr>
            </w:pPr>
            <w:r>
              <w:rPr>
                <w:rFonts w:ascii="Calibri"/>
                <w:sz w:val="20"/>
              </w:rPr>
              <w:t>Lot 3</w:t>
            </w:r>
          </w:p>
          <w:p w14:paraId="54DF9924" w14:textId="77777777" w:rsidR="001E2DF7" w:rsidRDefault="001E2DF7" w:rsidP="00B409A1">
            <w:pPr>
              <w:pStyle w:val="TableParagraph"/>
              <w:rPr>
                <w:rFonts w:ascii="Calibri" w:hAnsi="Calibri"/>
                <w:sz w:val="20"/>
              </w:rPr>
            </w:pPr>
            <w:r>
              <w:rPr>
                <w:rFonts w:ascii="Calibri" w:hAnsi="Calibri"/>
                <w:sz w:val="20"/>
              </w:rPr>
              <w:t>Note, Individual Bids in this Lot may tender for all IRC work – Detained Duty Advice and /or Detained Asylum Casework</w:t>
            </w:r>
          </w:p>
        </w:tc>
        <w:tc>
          <w:tcPr>
            <w:tcW w:w="1559" w:type="dxa"/>
          </w:tcPr>
          <w:p w14:paraId="2102CD40" w14:textId="77777777" w:rsidR="001E2DF7" w:rsidRDefault="001E2DF7" w:rsidP="00B409A1">
            <w:pPr>
              <w:pStyle w:val="TableParagraph"/>
              <w:spacing w:line="243" w:lineRule="exact"/>
              <w:rPr>
                <w:rFonts w:ascii="Calibri"/>
                <w:sz w:val="20"/>
              </w:rPr>
            </w:pPr>
            <w:r>
              <w:rPr>
                <w:rFonts w:ascii="Calibri"/>
                <w:sz w:val="20"/>
              </w:rPr>
              <w:t>300</w:t>
            </w:r>
          </w:p>
        </w:tc>
        <w:tc>
          <w:tcPr>
            <w:tcW w:w="1114" w:type="dxa"/>
          </w:tcPr>
          <w:p w14:paraId="0388DB8F" w14:textId="77777777" w:rsidR="001E2DF7" w:rsidRDefault="001E2DF7" w:rsidP="00B409A1">
            <w:pPr>
              <w:pStyle w:val="TableParagraph"/>
              <w:spacing w:line="243" w:lineRule="exact"/>
              <w:ind w:left="102"/>
              <w:rPr>
                <w:rFonts w:ascii="Calibri"/>
                <w:sz w:val="20"/>
              </w:rPr>
            </w:pPr>
            <w:r>
              <w:rPr>
                <w:rFonts w:ascii="Calibri"/>
                <w:sz w:val="20"/>
              </w:rPr>
              <w:t>No</w:t>
            </w:r>
          </w:p>
        </w:tc>
        <w:tc>
          <w:tcPr>
            <w:tcW w:w="3139" w:type="dxa"/>
          </w:tcPr>
          <w:p w14:paraId="345B9F1E" w14:textId="77777777" w:rsidR="001E2DF7" w:rsidRDefault="001E2DF7" w:rsidP="00B409A1">
            <w:pPr>
              <w:pStyle w:val="TableParagraph"/>
              <w:ind w:left="102" w:right="97"/>
              <w:rPr>
                <w:rFonts w:ascii="Calibri" w:hAnsi="Calibri"/>
                <w:sz w:val="20"/>
              </w:rPr>
            </w:pPr>
            <w:r>
              <w:rPr>
                <w:rFonts w:ascii="Calibri" w:hAnsi="Calibri"/>
                <w:sz w:val="20"/>
              </w:rPr>
              <w:t>Yes – 1) required to undertake full range of work; and 2) additional accreditation required</w:t>
            </w:r>
          </w:p>
        </w:tc>
      </w:tr>
      <w:tr w:rsidR="001E2DF7" w14:paraId="45A8156B" w14:textId="77777777" w:rsidTr="007629A1">
        <w:trPr>
          <w:trHeight w:val="982"/>
        </w:trPr>
        <w:tc>
          <w:tcPr>
            <w:tcW w:w="1277" w:type="dxa"/>
            <w:vMerge/>
            <w:tcBorders>
              <w:top w:val="nil"/>
            </w:tcBorders>
          </w:tcPr>
          <w:p w14:paraId="63DBFEB6" w14:textId="77777777" w:rsidR="001E2DF7" w:rsidRDefault="001E2DF7" w:rsidP="00B409A1">
            <w:pPr>
              <w:rPr>
                <w:sz w:val="2"/>
                <w:szCs w:val="2"/>
              </w:rPr>
            </w:pPr>
          </w:p>
        </w:tc>
        <w:tc>
          <w:tcPr>
            <w:tcW w:w="4394" w:type="dxa"/>
          </w:tcPr>
          <w:p w14:paraId="09C776E5" w14:textId="77777777" w:rsidR="001E2DF7" w:rsidRDefault="001E2DF7" w:rsidP="00B409A1">
            <w:pPr>
              <w:pStyle w:val="TableParagraph"/>
              <w:spacing w:line="242" w:lineRule="exact"/>
              <w:rPr>
                <w:rFonts w:ascii="Calibri"/>
                <w:sz w:val="20"/>
              </w:rPr>
            </w:pPr>
            <w:r>
              <w:rPr>
                <w:rFonts w:ascii="Calibri"/>
                <w:sz w:val="20"/>
              </w:rPr>
              <w:t>Above Lot 3</w:t>
            </w:r>
          </w:p>
          <w:p w14:paraId="4428DC73" w14:textId="77777777" w:rsidR="001E2DF7" w:rsidRDefault="001E2DF7" w:rsidP="00B409A1">
            <w:pPr>
              <w:pStyle w:val="TableParagraph"/>
              <w:rPr>
                <w:rFonts w:ascii="Calibri" w:hAnsi="Calibri"/>
                <w:sz w:val="20"/>
              </w:rPr>
            </w:pPr>
            <w:r>
              <w:rPr>
                <w:rFonts w:ascii="Calibri" w:hAnsi="Calibri"/>
                <w:sz w:val="20"/>
              </w:rPr>
              <w:t>Note, Individual Bids in this Lot may tender for all IRC work – Detained Duty Advice and /or Detained Asylum Casework</w:t>
            </w:r>
          </w:p>
        </w:tc>
        <w:tc>
          <w:tcPr>
            <w:tcW w:w="1559" w:type="dxa"/>
          </w:tcPr>
          <w:p w14:paraId="6E9DF686" w14:textId="77777777" w:rsidR="001E2DF7" w:rsidRDefault="001E2DF7" w:rsidP="00B409A1">
            <w:pPr>
              <w:pStyle w:val="TableParagraph"/>
              <w:spacing w:line="243" w:lineRule="exact"/>
              <w:rPr>
                <w:rFonts w:ascii="Calibri"/>
                <w:sz w:val="20"/>
              </w:rPr>
            </w:pPr>
            <w:r>
              <w:rPr>
                <w:rFonts w:ascii="Calibri"/>
                <w:sz w:val="20"/>
              </w:rPr>
              <w:t>Over 300</w:t>
            </w:r>
          </w:p>
        </w:tc>
        <w:tc>
          <w:tcPr>
            <w:tcW w:w="1114" w:type="dxa"/>
          </w:tcPr>
          <w:p w14:paraId="3D076F36" w14:textId="77777777" w:rsidR="001E2DF7" w:rsidRDefault="001E2DF7" w:rsidP="00B409A1">
            <w:pPr>
              <w:pStyle w:val="TableParagraph"/>
              <w:spacing w:line="243" w:lineRule="exact"/>
              <w:ind w:left="102"/>
              <w:rPr>
                <w:rFonts w:ascii="Calibri"/>
                <w:sz w:val="20"/>
              </w:rPr>
            </w:pPr>
            <w:r>
              <w:rPr>
                <w:rFonts w:ascii="Calibri"/>
                <w:sz w:val="20"/>
              </w:rPr>
              <w:t>Yes</w:t>
            </w:r>
          </w:p>
        </w:tc>
        <w:tc>
          <w:tcPr>
            <w:tcW w:w="3139" w:type="dxa"/>
          </w:tcPr>
          <w:p w14:paraId="61424042" w14:textId="77777777" w:rsidR="001E2DF7" w:rsidRDefault="001E2DF7" w:rsidP="00B409A1">
            <w:pPr>
              <w:pStyle w:val="TableParagraph"/>
              <w:ind w:left="102" w:right="97"/>
              <w:rPr>
                <w:rFonts w:ascii="Calibri" w:hAnsi="Calibri"/>
                <w:sz w:val="20"/>
              </w:rPr>
            </w:pPr>
            <w:r>
              <w:rPr>
                <w:rFonts w:ascii="Calibri" w:hAnsi="Calibri"/>
                <w:sz w:val="20"/>
              </w:rPr>
              <w:t>Yes – 1) required to undertake full range of work; and 2) additional accreditation required</w:t>
            </w:r>
          </w:p>
        </w:tc>
      </w:tr>
      <w:tr w:rsidR="001E2DF7" w14:paraId="0264F8FC" w14:textId="77777777" w:rsidTr="007629A1">
        <w:trPr>
          <w:trHeight w:val="854"/>
        </w:trPr>
        <w:tc>
          <w:tcPr>
            <w:tcW w:w="1277" w:type="dxa"/>
            <w:vMerge w:val="restart"/>
          </w:tcPr>
          <w:p w14:paraId="5C4A83DC" w14:textId="77777777" w:rsidR="001E2DF7" w:rsidRDefault="001E2DF7" w:rsidP="00B409A1">
            <w:pPr>
              <w:pStyle w:val="TableParagraph"/>
              <w:spacing w:line="243" w:lineRule="exact"/>
              <w:rPr>
                <w:rFonts w:ascii="Calibri"/>
                <w:sz w:val="20"/>
              </w:rPr>
            </w:pPr>
            <w:r>
              <w:rPr>
                <w:rFonts w:ascii="Calibri"/>
                <w:sz w:val="20"/>
              </w:rPr>
              <w:t>Mental Health</w:t>
            </w:r>
          </w:p>
        </w:tc>
        <w:tc>
          <w:tcPr>
            <w:tcW w:w="4394" w:type="dxa"/>
          </w:tcPr>
          <w:p w14:paraId="31B16E88" w14:textId="77777777" w:rsidR="001E2DF7" w:rsidRDefault="001E2DF7" w:rsidP="00B409A1">
            <w:pPr>
              <w:pStyle w:val="TableParagraph"/>
              <w:spacing w:line="243" w:lineRule="exact"/>
              <w:rPr>
                <w:rFonts w:ascii="Calibri"/>
                <w:sz w:val="20"/>
              </w:rPr>
            </w:pPr>
            <w:r>
              <w:rPr>
                <w:rFonts w:ascii="Calibri"/>
                <w:sz w:val="20"/>
              </w:rPr>
              <w:t>Lot 1</w:t>
            </w:r>
          </w:p>
        </w:tc>
        <w:tc>
          <w:tcPr>
            <w:tcW w:w="1559" w:type="dxa"/>
          </w:tcPr>
          <w:p w14:paraId="7EEA288D" w14:textId="77777777" w:rsidR="001E2DF7" w:rsidRDefault="001E2DF7" w:rsidP="00B409A1">
            <w:pPr>
              <w:pStyle w:val="TableParagraph"/>
              <w:spacing w:line="243" w:lineRule="exact"/>
              <w:rPr>
                <w:rFonts w:ascii="Calibri"/>
                <w:sz w:val="20"/>
              </w:rPr>
            </w:pPr>
            <w:r>
              <w:rPr>
                <w:rFonts w:ascii="Calibri"/>
                <w:sz w:val="20"/>
              </w:rPr>
              <w:t>100</w:t>
            </w:r>
          </w:p>
        </w:tc>
        <w:tc>
          <w:tcPr>
            <w:tcW w:w="1114" w:type="dxa"/>
          </w:tcPr>
          <w:p w14:paraId="78229E8F" w14:textId="77777777" w:rsidR="001E2DF7" w:rsidRDefault="001E2DF7" w:rsidP="00B409A1">
            <w:pPr>
              <w:pStyle w:val="TableParagraph"/>
              <w:spacing w:line="243" w:lineRule="exact"/>
              <w:ind w:left="102"/>
              <w:rPr>
                <w:rFonts w:ascii="Calibri"/>
                <w:sz w:val="20"/>
              </w:rPr>
            </w:pPr>
            <w:r>
              <w:rPr>
                <w:rFonts w:ascii="Calibri"/>
                <w:sz w:val="20"/>
              </w:rPr>
              <w:t>No</w:t>
            </w:r>
          </w:p>
        </w:tc>
        <w:tc>
          <w:tcPr>
            <w:tcW w:w="3139" w:type="dxa"/>
          </w:tcPr>
          <w:p w14:paraId="6329BF2B" w14:textId="77777777" w:rsidR="001E2DF7" w:rsidRDefault="001E2DF7" w:rsidP="00B409A1">
            <w:pPr>
              <w:pStyle w:val="TableParagraph"/>
              <w:ind w:left="102"/>
              <w:rPr>
                <w:rFonts w:ascii="Calibri" w:hAnsi="Calibri"/>
                <w:sz w:val="20"/>
              </w:rPr>
            </w:pPr>
            <w:r>
              <w:rPr>
                <w:rFonts w:ascii="Calibri" w:hAnsi="Calibri"/>
                <w:sz w:val="20"/>
              </w:rPr>
              <w:t xml:space="preserve">Yes – specific number of accredited </w:t>
            </w:r>
            <w:r>
              <w:rPr>
                <w:rFonts w:ascii="Calibri" w:hAnsi="Calibri"/>
                <w:w w:val="95"/>
                <w:sz w:val="20"/>
              </w:rPr>
              <w:t>representatives</w:t>
            </w:r>
          </w:p>
          <w:p w14:paraId="5397D220" w14:textId="77777777" w:rsidR="001E2DF7" w:rsidRDefault="001E2DF7" w:rsidP="00B409A1">
            <w:pPr>
              <w:pStyle w:val="TableParagraph"/>
              <w:spacing w:before="1" w:line="225" w:lineRule="exact"/>
              <w:ind w:left="102"/>
              <w:rPr>
                <w:rFonts w:ascii="Calibri"/>
                <w:sz w:val="20"/>
              </w:rPr>
            </w:pPr>
            <w:r>
              <w:rPr>
                <w:rFonts w:ascii="Calibri"/>
                <w:sz w:val="20"/>
              </w:rPr>
              <w:t>required</w:t>
            </w:r>
          </w:p>
        </w:tc>
      </w:tr>
      <w:tr w:rsidR="001E2DF7" w14:paraId="3633C242" w14:textId="77777777" w:rsidTr="007629A1">
        <w:trPr>
          <w:trHeight w:val="720"/>
        </w:trPr>
        <w:tc>
          <w:tcPr>
            <w:tcW w:w="1277" w:type="dxa"/>
            <w:vMerge/>
            <w:tcBorders>
              <w:top w:val="nil"/>
            </w:tcBorders>
          </w:tcPr>
          <w:p w14:paraId="76B0897A" w14:textId="77777777" w:rsidR="001E2DF7" w:rsidRDefault="001E2DF7" w:rsidP="00B409A1">
            <w:pPr>
              <w:rPr>
                <w:sz w:val="2"/>
                <w:szCs w:val="2"/>
              </w:rPr>
            </w:pPr>
          </w:p>
        </w:tc>
        <w:tc>
          <w:tcPr>
            <w:tcW w:w="4394" w:type="dxa"/>
          </w:tcPr>
          <w:p w14:paraId="6D96F46C" w14:textId="77777777" w:rsidR="001E2DF7" w:rsidRDefault="001E2DF7" w:rsidP="00B409A1">
            <w:pPr>
              <w:pStyle w:val="TableParagraph"/>
              <w:spacing w:line="243" w:lineRule="exact"/>
              <w:rPr>
                <w:rFonts w:ascii="Calibri"/>
                <w:sz w:val="20"/>
              </w:rPr>
            </w:pPr>
            <w:r>
              <w:rPr>
                <w:rFonts w:ascii="Calibri"/>
                <w:sz w:val="20"/>
              </w:rPr>
              <w:t>Lot 2</w:t>
            </w:r>
          </w:p>
        </w:tc>
        <w:tc>
          <w:tcPr>
            <w:tcW w:w="1559" w:type="dxa"/>
          </w:tcPr>
          <w:p w14:paraId="532BC1C1" w14:textId="77777777" w:rsidR="001E2DF7" w:rsidRDefault="001E2DF7" w:rsidP="00B409A1">
            <w:pPr>
              <w:pStyle w:val="TableParagraph"/>
              <w:spacing w:line="243" w:lineRule="exact"/>
              <w:rPr>
                <w:rFonts w:ascii="Calibri"/>
                <w:sz w:val="20"/>
              </w:rPr>
            </w:pPr>
            <w:r>
              <w:rPr>
                <w:rFonts w:ascii="Calibri"/>
                <w:sz w:val="20"/>
              </w:rPr>
              <w:t>300</w:t>
            </w:r>
          </w:p>
        </w:tc>
        <w:tc>
          <w:tcPr>
            <w:tcW w:w="1114" w:type="dxa"/>
          </w:tcPr>
          <w:p w14:paraId="50B4DFF4" w14:textId="77777777" w:rsidR="001E2DF7" w:rsidRDefault="001E2DF7" w:rsidP="00B409A1">
            <w:pPr>
              <w:pStyle w:val="TableParagraph"/>
              <w:spacing w:line="243" w:lineRule="exact"/>
              <w:ind w:left="102"/>
              <w:rPr>
                <w:rFonts w:ascii="Calibri"/>
                <w:sz w:val="20"/>
              </w:rPr>
            </w:pPr>
            <w:r>
              <w:rPr>
                <w:rFonts w:ascii="Calibri"/>
                <w:sz w:val="20"/>
              </w:rPr>
              <w:t>No</w:t>
            </w:r>
          </w:p>
        </w:tc>
        <w:tc>
          <w:tcPr>
            <w:tcW w:w="3139" w:type="dxa"/>
          </w:tcPr>
          <w:p w14:paraId="4600817C" w14:textId="77777777" w:rsidR="001E2DF7" w:rsidRDefault="001E2DF7" w:rsidP="00B409A1">
            <w:pPr>
              <w:pStyle w:val="TableParagraph"/>
              <w:ind w:left="102" w:right="497"/>
              <w:rPr>
                <w:rFonts w:ascii="Calibri" w:hAnsi="Calibri"/>
                <w:sz w:val="20"/>
              </w:rPr>
            </w:pPr>
            <w:r>
              <w:rPr>
                <w:rFonts w:ascii="Calibri" w:hAnsi="Calibri"/>
                <w:sz w:val="20"/>
              </w:rPr>
              <w:t>Yes – specific number of</w:t>
            </w:r>
          </w:p>
          <w:p w14:paraId="1C7456D4" w14:textId="77777777" w:rsidR="001E2DF7" w:rsidRDefault="001E2DF7" w:rsidP="00B409A1">
            <w:pPr>
              <w:pStyle w:val="TableParagraph"/>
              <w:spacing w:before="1" w:line="224" w:lineRule="exact"/>
              <w:ind w:left="102"/>
              <w:rPr>
                <w:rFonts w:ascii="Calibri"/>
                <w:sz w:val="20"/>
              </w:rPr>
            </w:pPr>
            <w:r>
              <w:rPr>
                <w:rFonts w:ascii="Calibri"/>
                <w:sz w:val="20"/>
              </w:rPr>
              <w:t>Accredited</w:t>
            </w:r>
          </w:p>
        </w:tc>
      </w:tr>
    </w:tbl>
    <w:p w14:paraId="7AB01D23" w14:textId="77777777" w:rsidR="001E2DF7" w:rsidRPr="00E03C15" w:rsidRDefault="001E2DF7" w:rsidP="001E2DF7">
      <w:pPr>
        <w:jc w:val="center"/>
        <w:rPr>
          <w:b/>
          <w:sz w:val="28"/>
          <w:szCs w:val="28"/>
        </w:rPr>
      </w:pPr>
    </w:p>
    <w:tbl>
      <w:tblPr>
        <w:tblW w:w="1148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4252"/>
        <w:gridCol w:w="1418"/>
        <w:gridCol w:w="1255"/>
        <w:gridCol w:w="3139"/>
      </w:tblGrid>
      <w:tr w:rsidR="001E2DF7" w14:paraId="5C1E4DBD" w14:textId="77777777" w:rsidTr="007629A1">
        <w:trPr>
          <w:trHeight w:val="480"/>
        </w:trPr>
        <w:tc>
          <w:tcPr>
            <w:tcW w:w="1419" w:type="dxa"/>
            <w:vMerge w:val="restart"/>
          </w:tcPr>
          <w:p w14:paraId="515ACCA3" w14:textId="77777777" w:rsidR="001E2DF7" w:rsidRDefault="001E2DF7" w:rsidP="00B409A1">
            <w:pPr>
              <w:pStyle w:val="TableParagraph"/>
              <w:rPr>
                <w:rFonts w:ascii="Times New Roman"/>
                <w:sz w:val="20"/>
              </w:rPr>
            </w:pPr>
          </w:p>
        </w:tc>
        <w:tc>
          <w:tcPr>
            <w:tcW w:w="4252" w:type="dxa"/>
          </w:tcPr>
          <w:p w14:paraId="23696C0C" w14:textId="77777777" w:rsidR="001E2DF7" w:rsidRDefault="001E2DF7" w:rsidP="00B409A1">
            <w:pPr>
              <w:pStyle w:val="TableParagraph"/>
              <w:rPr>
                <w:rFonts w:ascii="Times New Roman"/>
                <w:sz w:val="20"/>
              </w:rPr>
            </w:pPr>
          </w:p>
        </w:tc>
        <w:tc>
          <w:tcPr>
            <w:tcW w:w="1418" w:type="dxa"/>
          </w:tcPr>
          <w:p w14:paraId="1E62D23E" w14:textId="77777777" w:rsidR="001E2DF7" w:rsidRDefault="001E2DF7" w:rsidP="00B409A1">
            <w:pPr>
              <w:pStyle w:val="TableParagraph"/>
              <w:rPr>
                <w:rFonts w:ascii="Times New Roman"/>
                <w:sz w:val="20"/>
              </w:rPr>
            </w:pPr>
          </w:p>
        </w:tc>
        <w:tc>
          <w:tcPr>
            <w:tcW w:w="1255" w:type="dxa"/>
          </w:tcPr>
          <w:p w14:paraId="50284BBF" w14:textId="77777777" w:rsidR="001E2DF7" w:rsidRDefault="001E2DF7" w:rsidP="00B409A1">
            <w:pPr>
              <w:pStyle w:val="TableParagraph"/>
              <w:rPr>
                <w:rFonts w:ascii="Times New Roman"/>
                <w:sz w:val="20"/>
              </w:rPr>
            </w:pPr>
          </w:p>
        </w:tc>
        <w:tc>
          <w:tcPr>
            <w:tcW w:w="3139" w:type="dxa"/>
          </w:tcPr>
          <w:p w14:paraId="34EEB335" w14:textId="77777777" w:rsidR="001E2DF7" w:rsidRDefault="001E2DF7" w:rsidP="00B409A1">
            <w:pPr>
              <w:pStyle w:val="TableParagraph"/>
              <w:spacing w:line="244" w:lineRule="exact"/>
              <w:ind w:left="102"/>
              <w:rPr>
                <w:rFonts w:ascii="Calibri"/>
                <w:sz w:val="20"/>
              </w:rPr>
            </w:pPr>
            <w:r>
              <w:rPr>
                <w:rFonts w:ascii="Calibri"/>
                <w:sz w:val="20"/>
              </w:rPr>
              <w:t>representatives</w:t>
            </w:r>
          </w:p>
          <w:p w14:paraId="445DC368" w14:textId="77777777" w:rsidR="001E2DF7" w:rsidRDefault="001E2DF7" w:rsidP="00B409A1">
            <w:pPr>
              <w:pStyle w:val="TableParagraph"/>
              <w:spacing w:line="225" w:lineRule="exact"/>
              <w:ind w:left="102"/>
              <w:rPr>
                <w:rFonts w:ascii="Calibri"/>
                <w:sz w:val="20"/>
              </w:rPr>
            </w:pPr>
            <w:r>
              <w:rPr>
                <w:rFonts w:ascii="Calibri"/>
                <w:sz w:val="20"/>
              </w:rPr>
              <w:t>required</w:t>
            </w:r>
          </w:p>
        </w:tc>
      </w:tr>
      <w:tr w:rsidR="001E2DF7" w14:paraId="61883524" w14:textId="77777777" w:rsidTr="007629A1">
        <w:trPr>
          <w:trHeight w:val="1200"/>
        </w:trPr>
        <w:tc>
          <w:tcPr>
            <w:tcW w:w="1419" w:type="dxa"/>
            <w:vMerge/>
            <w:tcBorders>
              <w:top w:val="nil"/>
            </w:tcBorders>
          </w:tcPr>
          <w:p w14:paraId="11992727" w14:textId="77777777" w:rsidR="001E2DF7" w:rsidRDefault="001E2DF7" w:rsidP="00B409A1">
            <w:pPr>
              <w:rPr>
                <w:sz w:val="2"/>
                <w:szCs w:val="2"/>
              </w:rPr>
            </w:pPr>
          </w:p>
        </w:tc>
        <w:tc>
          <w:tcPr>
            <w:tcW w:w="4252" w:type="dxa"/>
          </w:tcPr>
          <w:p w14:paraId="3B7FAE54" w14:textId="77777777" w:rsidR="001E2DF7" w:rsidRDefault="001E2DF7" w:rsidP="00B409A1">
            <w:pPr>
              <w:pStyle w:val="TableParagraph"/>
              <w:spacing w:line="243" w:lineRule="exact"/>
              <w:rPr>
                <w:rFonts w:ascii="Calibri"/>
                <w:sz w:val="20"/>
              </w:rPr>
            </w:pPr>
            <w:r>
              <w:rPr>
                <w:rFonts w:ascii="Calibri"/>
                <w:sz w:val="20"/>
              </w:rPr>
              <w:t>Lot 3</w:t>
            </w:r>
          </w:p>
        </w:tc>
        <w:tc>
          <w:tcPr>
            <w:tcW w:w="1418" w:type="dxa"/>
          </w:tcPr>
          <w:p w14:paraId="2C4F97F8" w14:textId="77777777" w:rsidR="001E2DF7" w:rsidRDefault="001E2DF7" w:rsidP="00B409A1">
            <w:pPr>
              <w:pStyle w:val="TableParagraph"/>
              <w:spacing w:line="243" w:lineRule="exact"/>
              <w:rPr>
                <w:rFonts w:ascii="Calibri"/>
                <w:sz w:val="20"/>
              </w:rPr>
            </w:pPr>
            <w:r>
              <w:rPr>
                <w:rFonts w:ascii="Calibri"/>
                <w:sz w:val="20"/>
              </w:rPr>
              <w:t>500</w:t>
            </w:r>
          </w:p>
        </w:tc>
        <w:tc>
          <w:tcPr>
            <w:tcW w:w="1255" w:type="dxa"/>
          </w:tcPr>
          <w:p w14:paraId="0485DB91" w14:textId="77777777" w:rsidR="001E2DF7" w:rsidRDefault="001E2DF7" w:rsidP="00B409A1">
            <w:pPr>
              <w:pStyle w:val="TableParagraph"/>
              <w:spacing w:line="243" w:lineRule="exact"/>
              <w:ind w:left="102"/>
              <w:rPr>
                <w:rFonts w:ascii="Calibri"/>
                <w:sz w:val="20"/>
              </w:rPr>
            </w:pPr>
            <w:r>
              <w:rPr>
                <w:rFonts w:ascii="Calibri"/>
                <w:sz w:val="20"/>
              </w:rPr>
              <w:t>No</w:t>
            </w:r>
          </w:p>
        </w:tc>
        <w:tc>
          <w:tcPr>
            <w:tcW w:w="3139" w:type="dxa"/>
          </w:tcPr>
          <w:p w14:paraId="1E44EE51" w14:textId="77777777" w:rsidR="001E2DF7" w:rsidRDefault="001E2DF7" w:rsidP="00B409A1">
            <w:pPr>
              <w:pStyle w:val="TableParagraph"/>
              <w:ind w:left="102"/>
              <w:rPr>
                <w:rFonts w:ascii="Calibri" w:hAnsi="Calibri"/>
                <w:sz w:val="20"/>
              </w:rPr>
            </w:pPr>
            <w:r>
              <w:rPr>
                <w:rFonts w:ascii="Calibri" w:hAnsi="Calibri"/>
                <w:sz w:val="20"/>
              </w:rPr>
              <w:t xml:space="preserve">Yes – specific number of accredited </w:t>
            </w:r>
            <w:r>
              <w:rPr>
                <w:rFonts w:ascii="Calibri" w:hAnsi="Calibri"/>
                <w:w w:val="95"/>
                <w:sz w:val="20"/>
              </w:rPr>
              <w:t>representatives</w:t>
            </w:r>
          </w:p>
          <w:p w14:paraId="55776C72" w14:textId="77777777" w:rsidR="001E2DF7" w:rsidRDefault="001E2DF7" w:rsidP="00B409A1">
            <w:pPr>
              <w:pStyle w:val="TableParagraph"/>
              <w:spacing w:before="1" w:line="223" w:lineRule="exact"/>
              <w:ind w:left="102"/>
              <w:rPr>
                <w:rFonts w:ascii="Calibri"/>
                <w:sz w:val="20"/>
              </w:rPr>
            </w:pPr>
            <w:r>
              <w:rPr>
                <w:rFonts w:ascii="Calibri"/>
                <w:sz w:val="20"/>
              </w:rPr>
              <w:t>required</w:t>
            </w:r>
          </w:p>
        </w:tc>
      </w:tr>
      <w:tr w:rsidR="001E2DF7" w14:paraId="1D09F297" w14:textId="77777777" w:rsidTr="007629A1">
        <w:trPr>
          <w:trHeight w:val="1220"/>
        </w:trPr>
        <w:tc>
          <w:tcPr>
            <w:tcW w:w="1419" w:type="dxa"/>
            <w:vMerge/>
            <w:tcBorders>
              <w:top w:val="nil"/>
            </w:tcBorders>
          </w:tcPr>
          <w:p w14:paraId="416B9D37" w14:textId="77777777" w:rsidR="001E2DF7" w:rsidRDefault="001E2DF7" w:rsidP="00B409A1">
            <w:pPr>
              <w:rPr>
                <w:sz w:val="2"/>
                <w:szCs w:val="2"/>
              </w:rPr>
            </w:pPr>
          </w:p>
        </w:tc>
        <w:tc>
          <w:tcPr>
            <w:tcW w:w="4252" w:type="dxa"/>
          </w:tcPr>
          <w:p w14:paraId="587B197A" w14:textId="77777777" w:rsidR="001E2DF7" w:rsidRDefault="001E2DF7" w:rsidP="00B409A1">
            <w:pPr>
              <w:pStyle w:val="TableParagraph"/>
              <w:spacing w:before="1"/>
              <w:rPr>
                <w:rFonts w:ascii="Calibri"/>
                <w:sz w:val="20"/>
              </w:rPr>
            </w:pPr>
            <w:r>
              <w:rPr>
                <w:rFonts w:ascii="Calibri"/>
                <w:sz w:val="20"/>
              </w:rPr>
              <w:t>Above Lot 3</w:t>
            </w:r>
          </w:p>
        </w:tc>
        <w:tc>
          <w:tcPr>
            <w:tcW w:w="1418" w:type="dxa"/>
          </w:tcPr>
          <w:p w14:paraId="058D36A4" w14:textId="77777777" w:rsidR="001E2DF7" w:rsidRDefault="001E2DF7" w:rsidP="00B409A1">
            <w:pPr>
              <w:pStyle w:val="TableParagraph"/>
              <w:spacing w:before="1"/>
              <w:rPr>
                <w:rFonts w:ascii="Calibri"/>
                <w:sz w:val="20"/>
              </w:rPr>
            </w:pPr>
            <w:r>
              <w:rPr>
                <w:rFonts w:ascii="Calibri"/>
                <w:sz w:val="20"/>
              </w:rPr>
              <w:t>Over 500</w:t>
            </w:r>
          </w:p>
        </w:tc>
        <w:tc>
          <w:tcPr>
            <w:tcW w:w="1255" w:type="dxa"/>
          </w:tcPr>
          <w:p w14:paraId="1575D279" w14:textId="77777777" w:rsidR="001E2DF7" w:rsidRDefault="001E2DF7" w:rsidP="00B409A1">
            <w:pPr>
              <w:pStyle w:val="TableParagraph"/>
              <w:spacing w:before="1"/>
              <w:ind w:left="102"/>
              <w:rPr>
                <w:rFonts w:ascii="Calibri"/>
                <w:sz w:val="20"/>
              </w:rPr>
            </w:pPr>
            <w:r>
              <w:rPr>
                <w:rFonts w:ascii="Calibri"/>
                <w:sz w:val="20"/>
              </w:rPr>
              <w:t>Yes</w:t>
            </w:r>
          </w:p>
        </w:tc>
        <w:tc>
          <w:tcPr>
            <w:tcW w:w="3139" w:type="dxa"/>
          </w:tcPr>
          <w:p w14:paraId="64183BD4" w14:textId="77777777" w:rsidR="001E2DF7" w:rsidRDefault="001E2DF7" w:rsidP="00B409A1">
            <w:pPr>
              <w:pStyle w:val="TableParagraph"/>
              <w:spacing w:before="1"/>
              <w:ind w:left="102"/>
              <w:rPr>
                <w:rFonts w:ascii="Calibri" w:hAnsi="Calibri"/>
                <w:sz w:val="20"/>
              </w:rPr>
            </w:pPr>
            <w:r>
              <w:rPr>
                <w:rFonts w:ascii="Calibri" w:hAnsi="Calibri"/>
                <w:sz w:val="20"/>
              </w:rPr>
              <w:t xml:space="preserve">Yes – specific number of accredited </w:t>
            </w:r>
            <w:r>
              <w:rPr>
                <w:rFonts w:ascii="Calibri" w:hAnsi="Calibri"/>
                <w:w w:val="95"/>
                <w:sz w:val="20"/>
              </w:rPr>
              <w:t>representatives</w:t>
            </w:r>
          </w:p>
          <w:p w14:paraId="10BC25FC" w14:textId="77777777" w:rsidR="001E2DF7" w:rsidRDefault="001E2DF7" w:rsidP="00B409A1">
            <w:pPr>
              <w:pStyle w:val="TableParagraph"/>
              <w:spacing w:line="224" w:lineRule="exact"/>
              <w:ind w:left="102"/>
              <w:rPr>
                <w:rFonts w:ascii="Calibri"/>
                <w:sz w:val="20"/>
              </w:rPr>
            </w:pPr>
            <w:r>
              <w:rPr>
                <w:rFonts w:ascii="Calibri"/>
                <w:sz w:val="20"/>
              </w:rPr>
              <w:t>required</w:t>
            </w:r>
          </w:p>
        </w:tc>
      </w:tr>
      <w:tr w:rsidR="001E2DF7" w14:paraId="2BDB669D" w14:textId="77777777" w:rsidTr="007629A1">
        <w:trPr>
          <w:trHeight w:val="240"/>
        </w:trPr>
        <w:tc>
          <w:tcPr>
            <w:tcW w:w="1419" w:type="dxa"/>
            <w:vMerge w:val="restart"/>
          </w:tcPr>
          <w:p w14:paraId="21AC4D9E" w14:textId="77777777" w:rsidR="001E2DF7" w:rsidRDefault="001E2DF7" w:rsidP="00B409A1">
            <w:pPr>
              <w:pStyle w:val="TableParagraph"/>
              <w:spacing w:line="243" w:lineRule="exact"/>
              <w:rPr>
                <w:rFonts w:ascii="Calibri"/>
                <w:sz w:val="20"/>
              </w:rPr>
            </w:pPr>
            <w:r>
              <w:rPr>
                <w:rFonts w:ascii="Calibri"/>
                <w:sz w:val="20"/>
              </w:rPr>
              <w:t>Community Care</w:t>
            </w:r>
          </w:p>
        </w:tc>
        <w:tc>
          <w:tcPr>
            <w:tcW w:w="4252" w:type="dxa"/>
          </w:tcPr>
          <w:p w14:paraId="6A2A7A2B" w14:textId="77777777" w:rsidR="001E2DF7" w:rsidRDefault="001E2DF7" w:rsidP="00B409A1">
            <w:pPr>
              <w:pStyle w:val="TableParagraph"/>
              <w:spacing w:line="224" w:lineRule="exact"/>
              <w:rPr>
                <w:rFonts w:ascii="Calibri"/>
                <w:sz w:val="20"/>
              </w:rPr>
            </w:pPr>
            <w:r>
              <w:rPr>
                <w:rFonts w:ascii="Calibri"/>
                <w:sz w:val="20"/>
              </w:rPr>
              <w:t>Lot 1</w:t>
            </w:r>
          </w:p>
        </w:tc>
        <w:tc>
          <w:tcPr>
            <w:tcW w:w="1418" w:type="dxa"/>
          </w:tcPr>
          <w:p w14:paraId="7A9DA04E" w14:textId="77777777" w:rsidR="001E2DF7" w:rsidRDefault="001E2DF7" w:rsidP="00B409A1">
            <w:pPr>
              <w:pStyle w:val="TableParagraph"/>
              <w:spacing w:line="224" w:lineRule="exact"/>
              <w:rPr>
                <w:rFonts w:ascii="Calibri"/>
                <w:sz w:val="20"/>
              </w:rPr>
            </w:pPr>
            <w:r>
              <w:rPr>
                <w:rFonts w:ascii="Calibri"/>
                <w:sz w:val="20"/>
              </w:rPr>
              <w:t>100</w:t>
            </w:r>
          </w:p>
        </w:tc>
        <w:tc>
          <w:tcPr>
            <w:tcW w:w="1255" w:type="dxa"/>
          </w:tcPr>
          <w:p w14:paraId="0C1BC4A1" w14:textId="77777777" w:rsidR="001E2DF7" w:rsidRDefault="001E2DF7" w:rsidP="00B409A1">
            <w:pPr>
              <w:pStyle w:val="TableParagraph"/>
              <w:spacing w:line="224" w:lineRule="exact"/>
              <w:ind w:left="102"/>
              <w:rPr>
                <w:rFonts w:ascii="Calibri"/>
                <w:sz w:val="20"/>
              </w:rPr>
            </w:pPr>
            <w:r>
              <w:rPr>
                <w:rFonts w:ascii="Calibri"/>
                <w:sz w:val="20"/>
              </w:rPr>
              <w:t>No</w:t>
            </w:r>
          </w:p>
        </w:tc>
        <w:tc>
          <w:tcPr>
            <w:tcW w:w="3139" w:type="dxa"/>
          </w:tcPr>
          <w:p w14:paraId="2053045F" w14:textId="77777777" w:rsidR="001E2DF7" w:rsidRDefault="001E2DF7" w:rsidP="00B409A1">
            <w:pPr>
              <w:pStyle w:val="TableParagraph"/>
              <w:spacing w:line="224" w:lineRule="exact"/>
              <w:ind w:left="102"/>
              <w:rPr>
                <w:rFonts w:ascii="Calibri"/>
                <w:sz w:val="20"/>
              </w:rPr>
            </w:pPr>
            <w:r>
              <w:rPr>
                <w:rFonts w:ascii="Calibri"/>
                <w:sz w:val="20"/>
              </w:rPr>
              <w:t>No</w:t>
            </w:r>
          </w:p>
        </w:tc>
      </w:tr>
      <w:tr w:rsidR="001E2DF7" w14:paraId="17C4A15D" w14:textId="77777777" w:rsidTr="007629A1">
        <w:trPr>
          <w:trHeight w:val="240"/>
        </w:trPr>
        <w:tc>
          <w:tcPr>
            <w:tcW w:w="1419" w:type="dxa"/>
            <w:vMerge/>
            <w:tcBorders>
              <w:top w:val="nil"/>
            </w:tcBorders>
          </w:tcPr>
          <w:p w14:paraId="1AFC4E0F" w14:textId="77777777" w:rsidR="001E2DF7" w:rsidRDefault="001E2DF7" w:rsidP="00B409A1">
            <w:pPr>
              <w:rPr>
                <w:sz w:val="2"/>
                <w:szCs w:val="2"/>
              </w:rPr>
            </w:pPr>
          </w:p>
        </w:tc>
        <w:tc>
          <w:tcPr>
            <w:tcW w:w="4252" w:type="dxa"/>
          </w:tcPr>
          <w:p w14:paraId="5C4B51B1" w14:textId="77777777" w:rsidR="001E2DF7" w:rsidRDefault="001E2DF7" w:rsidP="00B409A1">
            <w:pPr>
              <w:pStyle w:val="TableParagraph"/>
              <w:spacing w:line="225" w:lineRule="exact"/>
              <w:rPr>
                <w:rFonts w:ascii="Calibri"/>
                <w:sz w:val="20"/>
              </w:rPr>
            </w:pPr>
            <w:r>
              <w:rPr>
                <w:rFonts w:ascii="Calibri"/>
                <w:sz w:val="20"/>
              </w:rPr>
              <w:t>Above Lot 1</w:t>
            </w:r>
          </w:p>
        </w:tc>
        <w:tc>
          <w:tcPr>
            <w:tcW w:w="1418" w:type="dxa"/>
          </w:tcPr>
          <w:p w14:paraId="5089CEA3" w14:textId="77777777" w:rsidR="001E2DF7" w:rsidRDefault="001E2DF7" w:rsidP="00B409A1">
            <w:pPr>
              <w:pStyle w:val="TableParagraph"/>
              <w:spacing w:line="225" w:lineRule="exact"/>
              <w:rPr>
                <w:rFonts w:ascii="Calibri"/>
                <w:sz w:val="20"/>
              </w:rPr>
            </w:pPr>
            <w:r>
              <w:rPr>
                <w:rFonts w:ascii="Calibri"/>
                <w:sz w:val="20"/>
              </w:rPr>
              <w:t>Over 100</w:t>
            </w:r>
          </w:p>
        </w:tc>
        <w:tc>
          <w:tcPr>
            <w:tcW w:w="1255" w:type="dxa"/>
          </w:tcPr>
          <w:p w14:paraId="51C92D2A" w14:textId="77777777" w:rsidR="001E2DF7" w:rsidRDefault="001E2DF7" w:rsidP="00B409A1">
            <w:pPr>
              <w:pStyle w:val="TableParagraph"/>
              <w:spacing w:line="225" w:lineRule="exact"/>
              <w:ind w:left="102"/>
              <w:rPr>
                <w:rFonts w:ascii="Calibri"/>
                <w:sz w:val="20"/>
              </w:rPr>
            </w:pPr>
            <w:r>
              <w:rPr>
                <w:rFonts w:ascii="Calibri"/>
                <w:sz w:val="20"/>
              </w:rPr>
              <w:t>Yes</w:t>
            </w:r>
          </w:p>
        </w:tc>
        <w:tc>
          <w:tcPr>
            <w:tcW w:w="3139" w:type="dxa"/>
          </w:tcPr>
          <w:p w14:paraId="2DD677F4" w14:textId="77777777" w:rsidR="001E2DF7" w:rsidRDefault="001E2DF7" w:rsidP="00B409A1">
            <w:pPr>
              <w:pStyle w:val="TableParagraph"/>
              <w:spacing w:line="225" w:lineRule="exact"/>
              <w:ind w:left="102"/>
              <w:rPr>
                <w:rFonts w:ascii="Calibri"/>
                <w:sz w:val="20"/>
              </w:rPr>
            </w:pPr>
            <w:r>
              <w:rPr>
                <w:rFonts w:ascii="Calibri"/>
                <w:sz w:val="20"/>
              </w:rPr>
              <w:t>No</w:t>
            </w:r>
          </w:p>
        </w:tc>
      </w:tr>
      <w:tr w:rsidR="001E2DF7" w14:paraId="5685792B" w14:textId="77777777" w:rsidTr="007629A1">
        <w:trPr>
          <w:trHeight w:val="240"/>
        </w:trPr>
        <w:tc>
          <w:tcPr>
            <w:tcW w:w="1419" w:type="dxa"/>
            <w:vMerge w:val="restart"/>
          </w:tcPr>
          <w:p w14:paraId="6D6F1877" w14:textId="77777777" w:rsidR="001E2DF7" w:rsidRDefault="001E2DF7" w:rsidP="00B409A1">
            <w:pPr>
              <w:pStyle w:val="TableParagraph"/>
              <w:spacing w:line="243" w:lineRule="exact"/>
              <w:rPr>
                <w:rFonts w:ascii="Calibri"/>
                <w:sz w:val="20"/>
              </w:rPr>
            </w:pPr>
            <w:r>
              <w:rPr>
                <w:rFonts w:ascii="Calibri"/>
                <w:sz w:val="20"/>
              </w:rPr>
              <w:t>Public Law</w:t>
            </w:r>
          </w:p>
        </w:tc>
        <w:tc>
          <w:tcPr>
            <w:tcW w:w="4252" w:type="dxa"/>
          </w:tcPr>
          <w:p w14:paraId="5A0A8976" w14:textId="77777777" w:rsidR="001E2DF7" w:rsidRDefault="001E2DF7" w:rsidP="00B409A1">
            <w:pPr>
              <w:pStyle w:val="TableParagraph"/>
              <w:spacing w:line="224" w:lineRule="exact"/>
              <w:rPr>
                <w:rFonts w:ascii="Calibri"/>
                <w:sz w:val="20"/>
              </w:rPr>
            </w:pPr>
            <w:r>
              <w:rPr>
                <w:rFonts w:ascii="Calibri"/>
                <w:sz w:val="20"/>
              </w:rPr>
              <w:t>Lot 1</w:t>
            </w:r>
          </w:p>
        </w:tc>
        <w:tc>
          <w:tcPr>
            <w:tcW w:w="1418" w:type="dxa"/>
          </w:tcPr>
          <w:p w14:paraId="61485400" w14:textId="77777777" w:rsidR="001E2DF7" w:rsidRDefault="001E2DF7" w:rsidP="00B409A1">
            <w:pPr>
              <w:pStyle w:val="TableParagraph"/>
              <w:spacing w:line="224" w:lineRule="exact"/>
              <w:rPr>
                <w:rFonts w:ascii="Calibri"/>
                <w:sz w:val="20"/>
              </w:rPr>
            </w:pPr>
            <w:r>
              <w:rPr>
                <w:rFonts w:ascii="Calibri"/>
                <w:sz w:val="20"/>
              </w:rPr>
              <w:t>30</w:t>
            </w:r>
          </w:p>
        </w:tc>
        <w:tc>
          <w:tcPr>
            <w:tcW w:w="1255" w:type="dxa"/>
          </w:tcPr>
          <w:p w14:paraId="2ECB5F90" w14:textId="77777777" w:rsidR="001E2DF7" w:rsidRDefault="001E2DF7" w:rsidP="00B409A1">
            <w:pPr>
              <w:pStyle w:val="TableParagraph"/>
              <w:spacing w:line="224" w:lineRule="exact"/>
              <w:ind w:left="102"/>
              <w:rPr>
                <w:rFonts w:ascii="Calibri"/>
                <w:sz w:val="20"/>
              </w:rPr>
            </w:pPr>
            <w:r>
              <w:rPr>
                <w:rFonts w:ascii="Calibri"/>
                <w:sz w:val="20"/>
              </w:rPr>
              <w:t>No</w:t>
            </w:r>
          </w:p>
        </w:tc>
        <w:tc>
          <w:tcPr>
            <w:tcW w:w="3139" w:type="dxa"/>
          </w:tcPr>
          <w:p w14:paraId="4B1DEFCD" w14:textId="77777777" w:rsidR="001E2DF7" w:rsidRDefault="001E2DF7" w:rsidP="00B409A1">
            <w:pPr>
              <w:pStyle w:val="TableParagraph"/>
              <w:spacing w:line="224" w:lineRule="exact"/>
              <w:ind w:left="102"/>
              <w:rPr>
                <w:rFonts w:ascii="Calibri"/>
                <w:sz w:val="20"/>
              </w:rPr>
            </w:pPr>
            <w:r>
              <w:rPr>
                <w:rFonts w:ascii="Calibri"/>
                <w:sz w:val="20"/>
              </w:rPr>
              <w:t>No</w:t>
            </w:r>
          </w:p>
        </w:tc>
      </w:tr>
      <w:tr w:rsidR="001E2DF7" w14:paraId="4C35D5FD" w14:textId="77777777" w:rsidTr="007629A1">
        <w:trPr>
          <w:trHeight w:val="240"/>
        </w:trPr>
        <w:tc>
          <w:tcPr>
            <w:tcW w:w="1419" w:type="dxa"/>
            <w:vMerge/>
            <w:tcBorders>
              <w:top w:val="nil"/>
            </w:tcBorders>
          </w:tcPr>
          <w:p w14:paraId="59863D76" w14:textId="77777777" w:rsidR="001E2DF7" w:rsidRDefault="001E2DF7" w:rsidP="00B409A1">
            <w:pPr>
              <w:rPr>
                <w:sz w:val="2"/>
                <w:szCs w:val="2"/>
              </w:rPr>
            </w:pPr>
          </w:p>
        </w:tc>
        <w:tc>
          <w:tcPr>
            <w:tcW w:w="4252" w:type="dxa"/>
          </w:tcPr>
          <w:p w14:paraId="0DF0C5B7" w14:textId="77777777" w:rsidR="001E2DF7" w:rsidRDefault="001E2DF7" w:rsidP="00B409A1">
            <w:pPr>
              <w:pStyle w:val="TableParagraph"/>
              <w:spacing w:line="224" w:lineRule="exact"/>
              <w:rPr>
                <w:rFonts w:ascii="Calibri"/>
                <w:sz w:val="20"/>
              </w:rPr>
            </w:pPr>
            <w:r>
              <w:rPr>
                <w:rFonts w:ascii="Calibri"/>
                <w:sz w:val="20"/>
              </w:rPr>
              <w:t>Above Lot 1</w:t>
            </w:r>
          </w:p>
        </w:tc>
        <w:tc>
          <w:tcPr>
            <w:tcW w:w="1418" w:type="dxa"/>
          </w:tcPr>
          <w:p w14:paraId="68DDBBE5" w14:textId="77777777" w:rsidR="001E2DF7" w:rsidRDefault="001E2DF7" w:rsidP="00B409A1">
            <w:pPr>
              <w:pStyle w:val="TableParagraph"/>
              <w:spacing w:line="224" w:lineRule="exact"/>
              <w:rPr>
                <w:rFonts w:ascii="Calibri"/>
                <w:sz w:val="20"/>
              </w:rPr>
            </w:pPr>
            <w:r>
              <w:rPr>
                <w:rFonts w:ascii="Calibri"/>
                <w:sz w:val="20"/>
              </w:rPr>
              <w:t>Over 30</w:t>
            </w:r>
          </w:p>
        </w:tc>
        <w:tc>
          <w:tcPr>
            <w:tcW w:w="1255" w:type="dxa"/>
          </w:tcPr>
          <w:p w14:paraId="1D7E25CC" w14:textId="77777777" w:rsidR="001E2DF7" w:rsidRDefault="001E2DF7" w:rsidP="00B409A1">
            <w:pPr>
              <w:pStyle w:val="TableParagraph"/>
              <w:spacing w:line="224" w:lineRule="exact"/>
              <w:ind w:left="102"/>
              <w:rPr>
                <w:rFonts w:ascii="Calibri"/>
                <w:sz w:val="20"/>
              </w:rPr>
            </w:pPr>
            <w:r>
              <w:rPr>
                <w:rFonts w:ascii="Calibri"/>
                <w:sz w:val="20"/>
              </w:rPr>
              <w:t>Yes</w:t>
            </w:r>
          </w:p>
        </w:tc>
        <w:tc>
          <w:tcPr>
            <w:tcW w:w="3139" w:type="dxa"/>
          </w:tcPr>
          <w:p w14:paraId="0B7CC247" w14:textId="77777777" w:rsidR="001E2DF7" w:rsidRDefault="001E2DF7" w:rsidP="00B409A1">
            <w:pPr>
              <w:pStyle w:val="TableParagraph"/>
              <w:spacing w:line="224" w:lineRule="exact"/>
              <w:ind w:left="102"/>
              <w:rPr>
                <w:rFonts w:ascii="Calibri"/>
                <w:sz w:val="20"/>
              </w:rPr>
            </w:pPr>
            <w:r>
              <w:rPr>
                <w:rFonts w:ascii="Calibri"/>
                <w:sz w:val="20"/>
              </w:rPr>
              <w:t>No</w:t>
            </w:r>
          </w:p>
        </w:tc>
      </w:tr>
      <w:tr w:rsidR="001E2DF7" w14:paraId="5E4A3138" w14:textId="77777777" w:rsidTr="007629A1">
        <w:trPr>
          <w:trHeight w:val="240"/>
        </w:trPr>
        <w:tc>
          <w:tcPr>
            <w:tcW w:w="1419" w:type="dxa"/>
            <w:vMerge w:val="restart"/>
          </w:tcPr>
          <w:p w14:paraId="485F2D97" w14:textId="77777777" w:rsidR="001E2DF7" w:rsidRDefault="001E2DF7" w:rsidP="00B409A1">
            <w:pPr>
              <w:pStyle w:val="TableParagraph"/>
              <w:spacing w:line="243" w:lineRule="exact"/>
              <w:rPr>
                <w:rFonts w:ascii="Calibri"/>
                <w:sz w:val="20"/>
              </w:rPr>
            </w:pPr>
            <w:r>
              <w:rPr>
                <w:rFonts w:ascii="Calibri"/>
                <w:sz w:val="20"/>
              </w:rPr>
              <w:t>Claims Against</w:t>
            </w:r>
          </w:p>
          <w:p w14:paraId="0664DC2A" w14:textId="77777777" w:rsidR="001E2DF7" w:rsidRDefault="001E2DF7" w:rsidP="00B409A1">
            <w:pPr>
              <w:pStyle w:val="TableParagraph"/>
              <w:spacing w:line="235" w:lineRule="exact"/>
              <w:rPr>
                <w:rFonts w:ascii="Calibri"/>
                <w:sz w:val="20"/>
              </w:rPr>
            </w:pPr>
            <w:r>
              <w:rPr>
                <w:rFonts w:ascii="Calibri"/>
                <w:sz w:val="20"/>
              </w:rPr>
              <w:t>Public Authorities</w:t>
            </w:r>
          </w:p>
        </w:tc>
        <w:tc>
          <w:tcPr>
            <w:tcW w:w="4252" w:type="dxa"/>
          </w:tcPr>
          <w:p w14:paraId="665EF6B8" w14:textId="77777777" w:rsidR="001E2DF7" w:rsidRDefault="001E2DF7" w:rsidP="00B409A1">
            <w:pPr>
              <w:pStyle w:val="TableParagraph"/>
              <w:spacing w:line="224" w:lineRule="exact"/>
              <w:rPr>
                <w:rFonts w:ascii="Calibri"/>
                <w:sz w:val="20"/>
              </w:rPr>
            </w:pPr>
            <w:r>
              <w:rPr>
                <w:rFonts w:ascii="Calibri"/>
                <w:sz w:val="20"/>
              </w:rPr>
              <w:t>Lot 1</w:t>
            </w:r>
          </w:p>
        </w:tc>
        <w:tc>
          <w:tcPr>
            <w:tcW w:w="1418" w:type="dxa"/>
          </w:tcPr>
          <w:p w14:paraId="642BEB46" w14:textId="77777777" w:rsidR="001E2DF7" w:rsidRDefault="001E2DF7" w:rsidP="00B409A1">
            <w:pPr>
              <w:pStyle w:val="TableParagraph"/>
              <w:spacing w:line="224" w:lineRule="exact"/>
              <w:rPr>
                <w:rFonts w:ascii="Calibri"/>
                <w:sz w:val="20"/>
              </w:rPr>
            </w:pPr>
            <w:r>
              <w:rPr>
                <w:rFonts w:ascii="Calibri"/>
                <w:sz w:val="20"/>
              </w:rPr>
              <w:t>60</w:t>
            </w:r>
          </w:p>
        </w:tc>
        <w:tc>
          <w:tcPr>
            <w:tcW w:w="1255" w:type="dxa"/>
          </w:tcPr>
          <w:p w14:paraId="03EDD4FE" w14:textId="77777777" w:rsidR="001E2DF7" w:rsidRDefault="001E2DF7" w:rsidP="00B409A1">
            <w:pPr>
              <w:pStyle w:val="TableParagraph"/>
              <w:spacing w:line="224" w:lineRule="exact"/>
              <w:ind w:left="102"/>
              <w:rPr>
                <w:rFonts w:ascii="Calibri"/>
                <w:sz w:val="20"/>
              </w:rPr>
            </w:pPr>
            <w:r>
              <w:rPr>
                <w:rFonts w:ascii="Calibri"/>
                <w:sz w:val="20"/>
              </w:rPr>
              <w:t>No</w:t>
            </w:r>
          </w:p>
        </w:tc>
        <w:tc>
          <w:tcPr>
            <w:tcW w:w="3139" w:type="dxa"/>
          </w:tcPr>
          <w:p w14:paraId="5610D1B7" w14:textId="77777777" w:rsidR="001E2DF7" w:rsidRDefault="001E2DF7" w:rsidP="00B409A1">
            <w:pPr>
              <w:pStyle w:val="TableParagraph"/>
              <w:spacing w:line="224" w:lineRule="exact"/>
              <w:ind w:left="102"/>
              <w:rPr>
                <w:rFonts w:ascii="Calibri"/>
                <w:sz w:val="20"/>
              </w:rPr>
            </w:pPr>
            <w:r>
              <w:rPr>
                <w:rFonts w:ascii="Calibri"/>
                <w:sz w:val="20"/>
              </w:rPr>
              <w:t>No</w:t>
            </w:r>
          </w:p>
        </w:tc>
      </w:tr>
      <w:tr w:rsidR="001E2DF7" w14:paraId="361C86E0" w14:textId="77777777" w:rsidTr="007629A1">
        <w:trPr>
          <w:trHeight w:val="240"/>
        </w:trPr>
        <w:tc>
          <w:tcPr>
            <w:tcW w:w="1419" w:type="dxa"/>
            <w:vMerge/>
            <w:tcBorders>
              <w:top w:val="nil"/>
            </w:tcBorders>
          </w:tcPr>
          <w:p w14:paraId="5F4F2615" w14:textId="77777777" w:rsidR="001E2DF7" w:rsidRDefault="001E2DF7" w:rsidP="00B409A1">
            <w:pPr>
              <w:rPr>
                <w:sz w:val="2"/>
                <w:szCs w:val="2"/>
              </w:rPr>
            </w:pPr>
          </w:p>
        </w:tc>
        <w:tc>
          <w:tcPr>
            <w:tcW w:w="4252" w:type="dxa"/>
          </w:tcPr>
          <w:p w14:paraId="7A74CD51" w14:textId="77777777" w:rsidR="001E2DF7" w:rsidRDefault="001E2DF7" w:rsidP="00B409A1">
            <w:pPr>
              <w:pStyle w:val="TableParagraph"/>
              <w:spacing w:line="224" w:lineRule="exact"/>
              <w:rPr>
                <w:rFonts w:ascii="Calibri"/>
                <w:sz w:val="20"/>
              </w:rPr>
            </w:pPr>
            <w:r>
              <w:rPr>
                <w:rFonts w:ascii="Calibri"/>
                <w:sz w:val="20"/>
              </w:rPr>
              <w:t>Above Lot 1</w:t>
            </w:r>
          </w:p>
        </w:tc>
        <w:tc>
          <w:tcPr>
            <w:tcW w:w="1418" w:type="dxa"/>
          </w:tcPr>
          <w:p w14:paraId="6DF58686" w14:textId="77777777" w:rsidR="001E2DF7" w:rsidRDefault="001E2DF7" w:rsidP="00B409A1">
            <w:pPr>
              <w:pStyle w:val="TableParagraph"/>
              <w:spacing w:line="224" w:lineRule="exact"/>
              <w:rPr>
                <w:rFonts w:ascii="Calibri"/>
                <w:sz w:val="20"/>
              </w:rPr>
            </w:pPr>
            <w:r>
              <w:rPr>
                <w:rFonts w:ascii="Calibri"/>
                <w:sz w:val="20"/>
              </w:rPr>
              <w:t>Over 60</w:t>
            </w:r>
          </w:p>
        </w:tc>
        <w:tc>
          <w:tcPr>
            <w:tcW w:w="1255" w:type="dxa"/>
          </w:tcPr>
          <w:p w14:paraId="7F36A44F" w14:textId="77777777" w:rsidR="001E2DF7" w:rsidRDefault="001E2DF7" w:rsidP="00B409A1">
            <w:pPr>
              <w:pStyle w:val="TableParagraph"/>
              <w:spacing w:line="224" w:lineRule="exact"/>
              <w:ind w:left="102"/>
              <w:rPr>
                <w:rFonts w:ascii="Calibri"/>
                <w:sz w:val="20"/>
              </w:rPr>
            </w:pPr>
            <w:r>
              <w:rPr>
                <w:rFonts w:ascii="Calibri"/>
                <w:sz w:val="20"/>
              </w:rPr>
              <w:t>Yes</w:t>
            </w:r>
          </w:p>
        </w:tc>
        <w:tc>
          <w:tcPr>
            <w:tcW w:w="3139" w:type="dxa"/>
          </w:tcPr>
          <w:p w14:paraId="6E4A5E9C" w14:textId="77777777" w:rsidR="001E2DF7" w:rsidRDefault="001E2DF7" w:rsidP="00B409A1">
            <w:pPr>
              <w:pStyle w:val="TableParagraph"/>
              <w:spacing w:line="224" w:lineRule="exact"/>
              <w:ind w:left="102"/>
              <w:rPr>
                <w:rFonts w:ascii="Calibri"/>
                <w:sz w:val="20"/>
              </w:rPr>
            </w:pPr>
            <w:r>
              <w:rPr>
                <w:rFonts w:ascii="Calibri"/>
                <w:sz w:val="20"/>
              </w:rPr>
              <w:t>No</w:t>
            </w:r>
          </w:p>
        </w:tc>
      </w:tr>
      <w:tr w:rsidR="001E2DF7" w14:paraId="03911770" w14:textId="77777777" w:rsidTr="007629A1">
        <w:trPr>
          <w:trHeight w:val="240"/>
        </w:trPr>
        <w:tc>
          <w:tcPr>
            <w:tcW w:w="1419" w:type="dxa"/>
          </w:tcPr>
          <w:p w14:paraId="7F6F111E" w14:textId="77777777" w:rsidR="001E2DF7" w:rsidRDefault="001E2DF7" w:rsidP="00B409A1">
            <w:pPr>
              <w:pStyle w:val="TableParagraph"/>
              <w:spacing w:line="222" w:lineRule="exact"/>
              <w:rPr>
                <w:rFonts w:ascii="Calibri"/>
                <w:sz w:val="20"/>
              </w:rPr>
            </w:pPr>
            <w:r>
              <w:rPr>
                <w:rFonts w:ascii="Calibri"/>
                <w:sz w:val="20"/>
              </w:rPr>
              <w:t>Debt</w:t>
            </w:r>
          </w:p>
        </w:tc>
        <w:tc>
          <w:tcPr>
            <w:tcW w:w="4252" w:type="dxa"/>
          </w:tcPr>
          <w:p w14:paraId="62F0B29E" w14:textId="77777777" w:rsidR="001E2DF7" w:rsidRDefault="001E2DF7" w:rsidP="00B409A1">
            <w:pPr>
              <w:pStyle w:val="TableParagraph"/>
              <w:spacing w:line="222" w:lineRule="exact"/>
              <w:rPr>
                <w:rFonts w:ascii="Calibri"/>
                <w:sz w:val="20"/>
              </w:rPr>
            </w:pPr>
            <w:r>
              <w:rPr>
                <w:rFonts w:ascii="Calibri"/>
                <w:sz w:val="20"/>
              </w:rPr>
              <w:t>N/A</w:t>
            </w:r>
          </w:p>
        </w:tc>
        <w:tc>
          <w:tcPr>
            <w:tcW w:w="1418" w:type="dxa"/>
          </w:tcPr>
          <w:p w14:paraId="47014804" w14:textId="77777777" w:rsidR="001E2DF7" w:rsidRDefault="001E2DF7" w:rsidP="00B409A1">
            <w:pPr>
              <w:pStyle w:val="TableParagraph"/>
              <w:spacing w:line="222" w:lineRule="exact"/>
              <w:rPr>
                <w:rFonts w:ascii="Calibri"/>
                <w:sz w:val="20"/>
              </w:rPr>
            </w:pPr>
            <w:r>
              <w:rPr>
                <w:rFonts w:ascii="Calibri"/>
                <w:w w:val="99"/>
                <w:sz w:val="20"/>
              </w:rPr>
              <w:t>4</w:t>
            </w:r>
          </w:p>
        </w:tc>
        <w:tc>
          <w:tcPr>
            <w:tcW w:w="1255" w:type="dxa"/>
          </w:tcPr>
          <w:p w14:paraId="17349B85" w14:textId="77777777" w:rsidR="001E2DF7" w:rsidRDefault="001E2DF7" w:rsidP="00B409A1">
            <w:pPr>
              <w:pStyle w:val="TableParagraph"/>
              <w:spacing w:line="222" w:lineRule="exact"/>
              <w:ind w:left="102"/>
              <w:rPr>
                <w:rFonts w:ascii="Calibri"/>
                <w:sz w:val="20"/>
              </w:rPr>
            </w:pPr>
            <w:r>
              <w:rPr>
                <w:rFonts w:ascii="Calibri"/>
                <w:sz w:val="20"/>
              </w:rPr>
              <w:t>No</w:t>
            </w:r>
          </w:p>
        </w:tc>
        <w:tc>
          <w:tcPr>
            <w:tcW w:w="3139" w:type="dxa"/>
          </w:tcPr>
          <w:p w14:paraId="583EFD87" w14:textId="77777777" w:rsidR="001E2DF7" w:rsidRDefault="001E2DF7" w:rsidP="00B409A1">
            <w:pPr>
              <w:pStyle w:val="TableParagraph"/>
              <w:spacing w:line="222" w:lineRule="exact"/>
              <w:ind w:left="102"/>
              <w:rPr>
                <w:rFonts w:ascii="Calibri"/>
                <w:sz w:val="20"/>
              </w:rPr>
            </w:pPr>
            <w:r>
              <w:rPr>
                <w:rFonts w:ascii="Calibri"/>
                <w:sz w:val="20"/>
              </w:rPr>
              <w:t>No</w:t>
            </w:r>
          </w:p>
        </w:tc>
      </w:tr>
      <w:tr w:rsidR="001E2DF7" w14:paraId="4AEFC822" w14:textId="77777777" w:rsidTr="007629A1">
        <w:trPr>
          <w:trHeight w:val="240"/>
        </w:trPr>
        <w:tc>
          <w:tcPr>
            <w:tcW w:w="1419" w:type="dxa"/>
          </w:tcPr>
          <w:p w14:paraId="703CCCAC" w14:textId="77777777" w:rsidR="001E2DF7" w:rsidRDefault="001E2DF7" w:rsidP="00B409A1">
            <w:pPr>
              <w:pStyle w:val="TableParagraph"/>
              <w:spacing w:before="1" w:line="223" w:lineRule="exact"/>
              <w:rPr>
                <w:rFonts w:ascii="Calibri"/>
                <w:sz w:val="20"/>
              </w:rPr>
            </w:pPr>
            <w:r>
              <w:rPr>
                <w:rFonts w:ascii="Calibri"/>
                <w:sz w:val="20"/>
              </w:rPr>
              <w:t>Welfare Benefits</w:t>
            </w:r>
          </w:p>
        </w:tc>
        <w:tc>
          <w:tcPr>
            <w:tcW w:w="4252" w:type="dxa"/>
          </w:tcPr>
          <w:p w14:paraId="6784CA08" w14:textId="77777777" w:rsidR="001E2DF7" w:rsidRDefault="001E2DF7" w:rsidP="00B409A1">
            <w:pPr>
              <w:pStyle w:val="TableParagraph"/>
              <w:spacing w:before="1" w:line="223" w:lineRule="exact"/>
              <w:rPr>
                <w:rFonts w:ascii="Calibri"/>
                <w:sz w:val="20"/>
              </w:rPr>
            </w:pPr>
            <w:r>
              <w:rPr>
                <w:rFonts w:ascii="Calibri"/>
                <w:sz w:val="20"/>
              </w:rPr>
              <w:t>N/A</w:t>
            </w:r>
          </w:p>
        </w:tc>
        <w:tc>
          <w:tcPr>
            <w:tcW w:w="1418" w:type="dxa"/>
          </w:tcPr>
          <w:p w14:paraId="6C47964E" w14:textId="77777777" w:rsidR="001E2DF7" w:rsidRDefault="001E2DF7" w:rsidP="00B409A1">
            <w:pPr>
              <w:pStyle w:val="TableParagraph"/>
              <w:spacing w:before="1" w:line="223" w:lineRule="exact"/>
              <w:rPr>
                <w:rFonts w:ascii="Calibri"/>
                <w:sz w:val="20"/>
              </w:rPr>
            </w:pPr>
            <w:r>
              <w:rPr>
                <w:rFonts w:ascii="Calibri"/>
                <w:sz w:val="20"/>
              </w:rPr>
              <w:t>30</w:t>
            </w:r>
          </w:p>
        </w:tc>
        <w:tc>
          <w:tcPr>
            <w:tcW w:w="1255" w:type="dxa"/>
          </w:tcPr>
          <w:p w14:paraId="115E22C7" w14:textId="77777777" w:rsidR="001E2DF7" w:rsidRDefault="001E2DF7" w:rsidP="00B409A1">
            <w:pPr>
              <w:pStyle w:val="TableParagraph"/>
              <w:spacing w:before="1" w:line="223" w:lineRule="exact"/>
              <w:ind w:left="102"/>
              <w:rPr>
                <w:rFonts w:ascii="Calibri"/>
                <w:sz w:val="20"/>
              </w:rPr>
            </w:pPr>
            <w:r>
              <w:rPr>
                <w:rFonts w:ascii="Calibri"/>
                <w:sz w:val="20"/>
              </w:rPr>
              <w:t>No</w:t>
            </w:r>
          </w:p>
        </w:tc>
        <w:tc>
          <w:tcPr>
            <w:tcW w:w="3139" w:type="dxa"/>
          </w:tcPr>
          <w:p w14:paraId="6368EA42" w14:textId="77777777" w:rsidR="001E2DF7" w:rsidRDefault="001E2DF7" w:rsidP="00B409A1">
            <w:pPr>
              <w:pStyle w:val="TableParagraph"/>
              <w:spacing w:before="1" w:line="223" w:lineRule="exact"/>
              <w:ind w:left="102"/>
              <w:rPr>
                <w:rFonts w:ascii="Calibri"/>
                <w:sz w:val="20"/>
              </w:rPr>
            </w:pPr>
            <w:r>
              <w:rPr>
                <w:rFonts w:ascii="Calibri"/>
                <w:sz w:val="20"/>
              </w:rPr>
              <w:t>No</w:t>
            </w:r>
          </w:p>
        </w:tc>
      </w:tr>
      <w:tr w:rsidR="001E2DF7" w14:paraId="6E3402D4" w14:textId="77777777" w:rsidTr="007629A1">
        <w:trPr>
          <w:trHeight w:val="480"/>
        </w:trPr>
        <w:tc>
          <w:tcPr>
            <w:tcW w:w="1419" w:type="dxa"/>
          </w:tcPr>
          <w:p w14:paraId="6BDD983D" w14:textId="77777777" w:rsidR="001E2DF7" w:rsidRDefault="001E2DF7" w:rsidP="00B409A1">
            <w:pPr>
              <w:pStyle w:val="TableParagraph"/>
              <w:spacing w:before="1" w:line="243" w:lineRule="exact"/>
              <w:rPr>
                <w:rFonts w:ascii="Calibri"/>
                <w:sz w:val="20"/>
              </w:rPr>
            </w:pPr>
            <w:r>
              <w:rPr>
                <w:rFonts w:ascii="Calibri"/>
                <w:sz w:val="20"/>
              </w:rPr>
              <w:t>Clinical</w:t>
            </w:r>
          </w:p>
          <w:p w14:paraId="2F265ED6" w14:textId="77777777" w:rsidR="001E2DF7" w:rsidRDefault="001E2DF7" w:rsidP="00B409A1">
            <w:pPr>
              <w:pStyle w:val="TableParagraph"/>
              <w:spacing w:line="225" w:lineRule="exact"/>
              <w:rPr>
                <w:rFonts w:ascii="Calibri"/>
                <w:sz w:val="20"/>
              </w:rPr>
            </w:pPr>
            <w:r>
              <w:rPr>
                <w:rFonts w:ascii="Calibri"/>
                <w:sz w:val="20"/>
              </w:rPr>
              <w:t>Negligence</w:t>
            </w:r>
          </w:p>
        </w:tc>
        <w:tc>
          <w:tcPr>
            <w:tcW w:w="4252" w:type="dxa"/>
          </w:tcPr>
          <w:p w14:paraId="6E110930" w14:textId="77777777" w:rsidR="001E2DF7" w:rsidRDefault="001E2DF7" w:rsidP="00B409A1">
            <w:pPr>
              <w:pStyle w:val="TableParagraph"/>
              <w:spacing w:before="1"/>
              <w:rPr>
                <w:rFonts w:ascii="Calibri"/>
                <w:sz w:val="20"/>
              </w:rPr>
            </w:pPr>
            <w:r>
              <w:rPr>
                <w:rFonts w:ascii="Calibri"/>
                <w:sz w:val="20"/>
              </w:rPr>
              <w:t>N/A</w:t>
            </w:r>
          </w:p>
        </w:tc>
        <w:tc>
          <w:tcPr>
            <w:tcW w:w="1418" w:type="dxa"/>
          </w:tcPr>
          <w:p w14:paraId="1E9A614A" w14:textId="77777777" w:rsidR="001E2DF7" w:rsidRDefault="001E2DF7" w:rsidP="00B409A1">
            <w:pPr>
              <w:pStyle w:val="TableParagraph"/>
              <w:spacing w:before="1" w:line="243" w:lineRule="exact"/>
              <w:rPr>
                <w:rFonts w:ascii="Calibri"/>
                <w:sz w:val="20"/>
              </w:rPr>
            </w:pPr>
            <w:r>
              <w:rPr>
                <w:rFonts w:ascii="Calibri"/>
                <w:sz w:val="20"/>
              </w:rPr>
              <w:t>Notional allocation</w:t>
            </w:r>
          </w:p>
          <w:p w14:paraId="23930842" w14:textId="77777777" w:rsidR="001E2DF7" w:rsidRDefault="001E2DF7" w:rsidP="00B409A1">
            <w:pPr>
              <w:pStyle w:val="TableParagraph"/>
              <w:spacing w:line="225" w:lineRule="exact"/>
              <w:rPr>
                <w:rFonts w:ascii="Calibri"/>
                <w:sz w:val="20"/>
              </w:rPr>
            </w:pPr>
            <w:r>
              <w:rPr>
                <w:rFonts w:ascii="Calibri"/>
                <w:sz w:val="20"/>
              </w:rPr>
              <w:t>of 1</w:t>
            </w:r>
          </w:p>
        </w:tc>
        <w:tc>
          <w:tcPr>
            <w:tcW w:w="1255" w:type="dxa"/>
          </w:tcPr>
          <w:p w14:paraId="5AB0A48A" w14:textId="77777777" w:rsidR="001E2DF7" w:rsidRDefault="001E2DF7" w:rsidP="00B409A1">
            <w:pPr>
              <w:pStyle w:val="TableParagraph"/>
              <w:spacing w:before="1"/>
              <w:ind w:left="102"/>
              <w:rPr>
                <w:rFonts w:ascii="Calibri"/>
                <w:sz w:val="20"/>
              </w:rPr>
            </w:pPr>
            <w:r>
              <w:rPr>
                <w:rFonts w:ascii="Calibri"/>
                <w:sz w:val="20"/>
              </w:rPr>
              <w:t>No</w:t>
            </w:r>
          </w:p>
        </w:tc>
        <w:tc>
          <w:tcPr>
            <w:tcW w:w="3139" w:type="dxa"/>
          </w:tcPr>
          <w:p w14:paraId="45A536CC" w14:textId="77777777" w:rsidR="001E2DF7" w:rsidRDefault="001E2DF7" w:rsidP="00B409A1">
            <w:pPr>
              <w:pStyle w:val="TableParagraph"/>
              <w:spacing w:before="1"/>
              <w:ind w:left="102"/>
              <w:rPr>
                <w:rFonts w:ascii="Calibri"/>
                <w:sz w:val="20"/>
              </w:rPr>
            </w:pPr>
            <w:r>
              <w:rPr>
                <w:rFonts w:ascii="Calibri"/>
                <w:sz w:val="20"/>
              </w:rPr>
              <w:t>No</w:t>
            </w:r>
          </w:p>
        </w:tc>
      </w:tr>
      <w:tr w:rsidR="001E2DF7" w14:paraId="48CE5161" w14:textId="77777777" w:rsidTr="007629A1">
        <w:trPr>
          <w:trHeight w:val="480"/>
        </w:trPr>
        <w:tc>
          <w:tcPr>
            <w:tcW w:w="1419" w:type="dxa"/>
          </w:tcPr>
          <w:p w14:paraId="5C5D6D3C" w14:textId="77777777" w:rsidR="001E2DF7" w:rsidRDefault="001E2DF7" w:rsidP="00B409A1">
            <w:pPr>
              <w:pStyle w:val="TableParagraph"/>
              <w:spacing w:line="243" w:lineRule="exact"/>
              <w:rPr>
                <w:rFonts w:ascii="Calibri"/>
                <w:sz w:val="20"/>
              </w:rPr>
            </w:pPr>
            <w:r>
              <w:rPr>
                <w:rFonts w:ascii="Calibri"/>
                <w:sz w:val="20"/>
              </w:rPr>
              <w:t>Family Mediation</w:t>
            </w:r>
          </w:p>
        </w:tc>
        <w:tc>
          <w:tcPr>
            <w:tcW w:w="4252" w:type="dxa"/>
          </w:tcPr>
          <w:p w14:paraId="07347822" w14:textId="77777777" w:rsidR="001E2DF7" w:rsidRDefault="001E2DF7" w:rsidP="00B409A1">
            <w:pPr>
              <w:pStyle w:val="TableParagraph"/>
              <w:spacing w:line="243" w:lineRule="exact"/>
              <w:rPr>
                <w:rFonts w:ascii="Calibri"/>
                <w:sz w:val="20"/>
              </w:rPr>
            </w:pPr>
            <w:r>
              <w:rPr>
                <w:rFonts w:ascii="Calibri"/>
                <w:sz w:val="20"/>
              </w:rPr>
              <w:t>N/A</w:t>
            </w:r>
          </w:p>
        </w:tc>
        <w:tc>
          <w:tcPr>
            <w:tcW w:w="1418" w:type="dxa"/>
          </w:tcPr>
          <w:p w14:paraId="02F161F5" w14:textId="77777777" w:rsidR="001E2DF7" w:rsidRDefault="001E2DF7" w:rsidP="00B409A1">
            <w:pPr>
              <w:pStyle w:val="TableParagraph"/>
              <w:spacing w:line="243" w:lineRule="exact"/>
              <w:rPr>
                <w:rFonts w:ascii="Calibri"/>
                <w:sz w:val="20"/>
              </w:rPr>
            </w:pPr>
            <w:r>
              <w:rPr>
                <w:rFonts w:ascii="Calibri"/>
                <w:sz w:val="20"/>
              </w:rPr>
              <w:t>Notional allocation</w:t>
            </w:r>
          </w:p>
          <w:p w14:paraId="0147B0ED" w14:textId="77777777" w:rsidR="001E2DF7" w:rsidRDefault="001E2DF7" w:rsidP="00B409A1">
            <w:pPr>
              <w:pStyle w:val="TableParagraph"/>
              <w:spacing w:line="225" w:lineRule="exact"/>
              <w:rPr>
                <w:rFonts w:ascii="Calibri"/>
                <w:sz w:val="20"/>
              </w:rPr>
            </w:pPr>
            <w:r>
              <w:rPr>
                <w:rFonts w:ascii="Calibri"/>
                <w:sz w:val="20"/>
              </w:rPr>
              <w:t>of 1</w:t>
            </w:r>
          </w:p>
        </w:tc>
        <w:tc>
          <w:tcPr>
            <w:tcW w:w="1255" w:type="dxa"/>
          </w:tcPr>
          <w:p w14:paraId="365B1B10" w14:textId="77777777" w:rsidR="001E2DF7" w:rsidRDefault="001E2DF7" w:rsidP="00B409A1">
            <w:pPr>
              <w:pStyle w:val="TableParagraph"/>
              <w:spacing w:line="243" w:lineRule="exact"/>
              <w:ind w:left="102"/>
              <w:rPr>
                <w:rFonts w:ascii="Calibri"/>
                <w:sz w:val="20"/>
              </w:rPr>
            </w:pPr>
            <w:r>
              <w:rPr>
                <w:rFonts w:ascii="Calibri"/>
                <w:sz w:val="20"/>
              </w:rPr>
              <w:t>No</w:t>
            </w:r>
          </w:p>
        </w:tc>
        <w:tc>
          <w:tcPr>
            <w:tcW w:w="3139" w:type="dxa"/>
          </w:tcPr>
          <w:p w14:paraId="602A10AB" w14:textId="77777777" w:rsidR="001E2DF7" w:rsidRDefault="001E2DF7" w:rsidP="00B409A1">
            <w:pPr>
              <w:pStyle w:val="TableParagraph"/>
              <w:spacing w:line="243" w:lineRule="exact"/>
              <w:ind w:left="102"/>
              <w:rPr>
                <w:rFonts w:ascii="Calibri"/>
                <w:sz w:val="20"/>
              </w:rPr>
            </w:pPr>
            <w:r>
              <w:rPr>
                <w:rFonts w:ascii="Calibri"/>
                <w:sz w:val="20"/>
              </w:rPr>
              <w:t>No</w:t>
            </w:r>
          </w:p>
        </w:tc>
      </w:tr>
    </w:tbl>
    <w:p w14:paraId="2E14C73D" w14:textId="77777777" w:rsidR="001E2DF7" w:rsidRDefault="001E2DF7" w:rsidP="001E2DF7">
      <w:pPr>
        <w:pStyle w:val="ListParagraph"/>
      </w:pPr>
    </w:p>
    <w:p w14:paraId="6E2C3032" w14:textId="77777777" w:rsidR="00A304C9" w:rsidRDefault="00A304C9" w:rsidP="001E2DF7">
      <w:pPr>
        <w:pStyle w:val="ListParagraph"/>
      </w:pPr>
    </w:p>
    <w:p w14:paraId="3041E17B" w14:textId="77777777" w:rsidR="00A304C9" w:rsidRDefault="00A304C9" w:rsidP="001E2DF7">
      <w:pPr>
        <w:pStyle w:val="ListParagraph"/>
      </w:pPr>
    </w:p>
    <w:p w14:paraId="6A73F423" w14:textId="77777777" w:rsidR="00A304C9" w:rsidRDefault="00A304C9" w:rsidP="001E2DF7">
      <w:pPr>
        <w:pStyle w:val="ListParagraph"/>
      </w:pPr>
    </w:p>
    <w:p w14:paraId="7D69D55A" w14:textId="77777777" w:rsidR="00A304C9" w:rsidRDefault="00A304C9" w:rsidP="001E2DF7">
      <w:pPr>
        <w:pStyle w:val="ListParagraph"/>
      </w:pPr>
    </w:p>
    <w:p w14:paraId="602ADA73" w14:textId="77777777" w:rsidR="00A304C9" w:rsidRDefault="00A304C9" w:rsidP="001E2DF7">
      <w:pPr>
        <w:pStyle w:val="ListParagraph"/>
      </w:pPr>
    </w:p>
    <w:p w14:paraId="670B5840" w14:textId="77777777" w:rsidR="00A304C9" w:rsidRDefault="00A304C9" w:rsidP="001E2DF7">
      <w:pPr>
        <w:pStyle w:val="ListParagraph"/>
      </w:pPr>
    </w:p>
    <w:p w14:paraId="39456D5C" w14:textId="77777777" w:rsidR="00A304C9" w:rsidRDefault="00A304C9" w:rsidP="001E2DF7">
      <w:pPr>
        <w:pStyle w:val="ListParagraph"/>
      </w:pPr>
    </w:p>
    <w:p w14:paraId="378141A8" w14:textId="77777777" w:rsidR="00A304C9" w:rsidRDefault="00A304C9" w:rsidP="001E2DF7">
      <w:pPr>
        <w:pStyle w:val="ListParagraph"/>
      </w:pPr>
    </w:p>
    <w:p w14:paraId="74C09EB3" w14:textId="77777777" w:rsidR="00A304C9" w:rsidRDefault="00A304C9" w:rsidP="001E2DF7">
      <w:pPr>
        <w:pStyle w:val="ListParagraph"/>
      </w:pPr>
    </w:p>
    <w:p w14:paraId="1C951C9C" w14:textId="77777777" w:rsidR="00A304C9" w:rsidRDefault="00A304C9" w:rsidP="001E2DF7">
      <w:pPr>
        <w:pStyle w:val="ListParagraph"/>
      </w:pPr>
    </w:p>
    <w:p w14:paraId="1F774F96" w14:textId="77777777" w:rsidR="00A304C9" w:rsidRDefault="00A304C9" w:rsidP="001E2DF7">
      <w:pPr>
        <w:pStyle w:val="ListParagraph"/>
      </w:pPr>
    </w:p>
    <w:p w14:paraId="3F34E8D6" w14:textId="77777777" w:rsidR="00A304C9" w:rsidRDefault="00A304C9" w:rsidP="001E2DF7">
      <w:pPr>
        <w:pStyle w:val="ListParagraph"/>
      </w:pPr>
    </w:p>
    <w:p w14:paraId="6BD52E2F" w14:textId="77777777" w:rsidR="00A304C9" w:rsidRDefault="00A304C9" w:rsidP="001E2DF7">
      <w:pPr>
        <w:pStyle w:val="ListParagraph"/>
      </w:pPr>
    </w:p>
    <w:p w14:paraId="6C59B61C" w14:textId="77777777" w:rsidR="00A304C9" w:rsidRDefault="00A304C9" w:rsidP="001E2DF7">
      <w:pPr>
        <w:pStyle w:val="ListParagraph"/>
      </w:pPr>
    </w:p>
    <w:p w14:paraId="48AC45E2" w14:textId="77777777" w:rsidR="00A304C9" w:rsidRDefault="00A304C9" w:rsidP="001E2DF7">
      <w:pPr>
        <w:pStyle w:val="ListParagraph"/>
      </w:pPr>
    </w:p>
    <w:p w14:paraId="1401D6BB" w14:textId="77777777" w:rsidR="00A304C9" w:rsidRDefault="00A304C9" w:rsidP="001E2DF7">
      <w:pPr>
        <w:pStyle w:val="ListParagraph"/>
      </w:pPr>
    </w:p>
    <w:p w14:paraId="25977F6E" w14:textId="77777777" w:rsidR="00A304C9" w:rsidRDefault="00A304C9" w:rsidP="001E2DF7">
      <w:pPr>
        <w:pStyle w:val="ListParagraph"/>
      </w:pPr>
    </w:p>
    <w:p w14:paraId="40005AFB" w14:textId="77777777" w:rsidR="00A304C9" w:rsidRDefault="00A304C9" w:rsidP="001E2DF7">
      <w:pPr>
        <w:pStyle w:val="ListParagraph"/>
      </w:pPr>
    </w:p>
    <w:p w14:paraId="68AF159D" w14:textId="77777777" w:rsidR="00A304C9" w:rsidRDefault="00A304C9" w:rsidP="001E2DF7">
      <w:pPr>
        <w:pStyle w:val="ListParagraph"/>
      </w:pPr>
    </w:p>
    <w:p w14:paraId="1FDD1E59" w14:textId="77777777" w:rsidR="001E2DF7" w:rsidRPr="003C5237" w:rsidRDefault="001E2DF7" w:rsidP="001E2DF7">
      <w:pPr>
        <w:keepNext/>
        <w:shd w:val="clear" w:color="auto" w:fill="00B4CD"/>
        <w:spacing w:before="240" w:after="60"/>
        <w:jc w:val="center"/>
        <w:outlineLvl w:val="0"/>
        <w:rPr>
          <w:rFonts w:ascii="Cambria" w:hAnsi="Cambria"/>
          <w:b/>
          <w:bCs/>
          <w:color w:val="00B0F0"/>
          <w:kern w:val="32"/>
          <w:sz w:val="6"/>
          <w:szCs w:val="16"/>
        </w:rPr>
      </w:pPr>
    </w:p>
    <w:p w14:paraId="00E20EE8" w14:textId="77777777" w:rsidR="001E2DF7" w:rsidRDefault="001E2DF7" w:rsidP="001E2DF7">
      <w:pPr>
        <w:jc w:val="center"/>
        <w:rPr>
          <w:b/>
        </w:rPr>
      </w:pPr>
      <w:r>
        <w:rPr>
          <w:rFonts w:ascii="Calibri" w:hAnsi="Calibri"/>
          <w:b/>
          <w:sz w:val="28"/>
          <w:szCs w:val="28"/>
        </w:rPr>
        <w:t>ANNEX 3</w:t>
      </w:r>
    </w:p>
    <w:p w14:paraId="7B629433" w14:textId="77777777" w:rsidR="001E2DF7" w:rsidRDefault="001E2DF7" w:rsidP="001E2DF7">
      <w:pPr>
        <w:jc w:val="center"/>
        <w:rPr>
          <w:b/>
          <w:sz w:val="28"/>
          <w:szCs w:val="28"/>
        </w:rPr>
      </w:pPr>
      <w:r>
        <w:rPr>
          <w:b/>
          <w:sz w:val="28"/>
          <w:szCs w:val="28"/>
        </w:rPr>
        <w:t>Top Tips from the LAA</w:t>
      </w:r>
    </w:p>
    <w:p w14:paraId="0FDC5208" w14:textId="77777777" w:rsidR="00A304C9" w:rsidRPr="007629A1" w:rsidRDefault="00A304C9" w:rsidP="00A304C9">
      <w:pPr>
        <w:jc w:val="both"/>
        <w:rPr>
          <w:rFonts w:ascii="Calibri" w:hAnsi="Calibri"/>
          <w:sz w:val="24"/>
          <w:szCs w:val="28"/>
        </w:rPr>
      </w:pPr>
    </w:p>
    <w:p w14:paraId="1243B255" w14:textId="77777777" w:rsidR="00A304C9" w:rsidRPr="007629A1" w:rsidRDefault="00A304C9" w:rsidP="00A304C9">
      <w:pPr>
        <w:numPr>
          <w:ilvl w:val="0"/>
          <w:numId w:val="14"/>
        </w:numPr>
        <w:jc w:val="both"/>
        <w:rPr>
          <w:rFonts w:ascii="Calibri" w:hAnsi="Calibri"/>
          <w:sz w:val="24"/>
          <w:szCs w:val="28"/>
        </w:rPr>
      </w:pPr>
      <w:r w:rsidRPr="007629A1">
        <w:rPr>
          <w:rFonts w:ascii="Calibri" w:hAnsi="Calibri"/>
          <w:sz w:val="24"/>
          <w:szCs w:val="28"/>
        </w:rPr>
        <w:t>An ITT cannot be submitted unless the SQ has been submitted first;</w:t>
      </w:r>
    </w:p>
    <w:p w14:paraId="4A1D2DE9" w14:textId="77777777" w:rsidR="00A304C9" w:rsidRPr="007629A1" w:rsidRDefault="00A304C9" w:rsidP="00A304C9">
      <w:pPr>
        <w:numPr>
          <w:ilvl w:val="0"/>
          <w:numId w:val="14"/>
        </w:numPr>
        <w:jc w:val="both"/>
        <w:rPr>
          <w:rFonts w:ascii="Calibri" w:hAnsi="Calibri"/>
          <w:sz w:val="24"/>
          <w:szCs w:val="28"/>
        </w:rPr>
      </w:pPr>
      <w:r w:rsidRPr="007629A1">
        <w:rPr>
          <w:rFonts w:ascii="Calibri" w:hAnsi="Calibri"/>
          <w:sz w:val="24"/>
          <w:szCs w:val="28"/>
        </w:rPr>
        <w:t>The SQ and ITT(s) can be edited and saved and the LAA cannot access information until the tender window closes;</w:t>
      </w:r>
    </w:p>
    <w:p w14:paraId="5C7724FA" w14:textId="77777777" w:rsidR="00A304C9" w:rsidRPr="007629A1" w:rsidRDefault="00A304C9" w:rsidP="00A304C9">
      <w:pPr>
        <w:numPr>
          <w:ilvl w:val="0"/>
          <w:numId w:val="14"/>
        </w:numPr>
        <w:jc w:val="both"/>
        <w:rPr>
          <w:rFonts w:ascii="Calibri" w:hAnsi="Calibri"/>
          <w:sz w:val="24"/>
          <w:szCs w:val="28"/>
        </w:rPr>
      </w:pPr>
      <w:r w:rsidRPr="007629A1">
        <w:rPr>
          <w:rFonts w:ascii="Calibri" w:hAnsi="Calibri"/>
          <w:sz w:val="24"/>
          <w:szCs w:val="28"/>
        </w:rPr>
        <w:t>The SQ and ITT(s) can be submitted as many times as you like and only the last one will be considered;</w:t>
      </w:r>
    </w:p>
    <w:p w14:paraId="61D262C9" w14:textId="77777777" w:rsidR="00A304C9" w:rsidRPr="007629A1" w:rsidRDefault="00A304C9" w:rsidP="00A304C9">
      <w:pPr>
        <w:numPr>
          <w:ilvl w:val="0"/>
          <w:numId w:val="14"/>
        </w:numPr>
        <w:jc w:val="both"/>
        <w:rPr>
          <w:rFonts w:ascii="Calibri" w:hAnsi="Calibri"/>
          <w:sz w:val="24"/>
          <w:szCs w:val="28"/>
        </w:rPr>
      </w:pPr>
      <w:r w:rsidRPr="007629A1">
        <w:rPr>
          <w:rFonts w:ascii="Calibri" w:hAnsi="Calibri"/>
          <w:sz w:val="24"/>
          <w:szCs w:val="28"/>
        </w:rPr>
        <w:t>The Bravo helpdesk can limit a registered user’s permissions to read only but the default setting for all users is to be able to edit and submit;</w:t>
      </w:r>
    </w:p>
    <w:p w14:paraId="5F249C4C" w14:textId="77777777" w:rsidR="00A304C9" w:rsidRPr="007629A1" w:rsidRDefault="00A304C9" w:rsidP="00A304C9">
      <w:pPr>
        <w:numPr>
          <w:ilvl w:val="0"/>
          <w:numId w:val="14"/>
        </w:numPr>
        <w:jc w:val="both"/>
        <w:rPr>
          <w:rFonts w:ascii="Calibri" w:hAnsi="Calibri"/>
          <w:sz w:val="24"/>
          <w:szCs w:val="28"/>
        </w:rPr>
      </w:pPr>
      <w:r w:rsidRPr="007629A1">
        <w:rPr>
          <w:rFonts w:ascii="Calibri" w:hAnsi="Calibri"/>
          <w:sz w:val="24"/>
          <w:szCs w:val="28"/>
        </w:rPr>
        <w:t>Everyone only have to do one SQ (unless they are merging, forming a new organisation etc. and aren’t sure if it will be set up in time, in which case the LAA says submit a SQ and ITT for the current and proposed organisations);</w:t>
      </w:r>
    </w:p>
    <w:p w14:paraId="1A8D034D" w14:textId="77777777" w:rsidR="00A304C9" w:rsidRPr="007629A1" w:rsidRDefault="00A304C9" w:rsidP="00A304C9">
      <w:pPr>
        <w:numPr>
          <w:ilvl w:val="0"/>
          <w:numId w:val="14"/>
        </w:numPr>
        <w:jc w:val="both"/>
        <w:rPr>
          <w:rFonts w:ascii="Calibri" w:hAnsi="Calibri"/>
          <w:sz w:val="24"/>
          <w:szCs w:val="28"/>
        </w:rPr>
      </w:pPr>
      <w:r w:rsidRPr="007629A1">
        <w:rPr>
          <w:rFonts w:ascii="Calibri" w:hAnsi="Calibri"/>
          <w:sz w:val="24"/>
          <w:szCs w:val="28"/>
        </w:rPr>
        <w:t>In the SQ many bidders provide their individual SRA number rather than their organisation’s SRA number;</w:t>
      </w:r>
    </w:p>
    <w:p w14:paraId="2EC465D5" w14:textId="77777777" w:rsidR="00A304C9" w:rsidRPr="007629A1" w:rsidRDefault="00A304C9" w:rsidP="00A304C9">
      <w:pPr>
        <w:numPr>
          <w:ilvl w:val="0"/>
          <w:numId w:val="14"/>
        </w:numPr>
        <w:jc w:val="both"/>
        <w:rPr>
          <w:rFonts w:ascii="Calibri" w:hAnsi="Calibri"/>
          <w:sz w:val="24"/>
          <w:szCs w:val="28"/>
        </w:rPr>
      </w:pPr>
      <w:r w:rsidRPr="007629A1">
        <w:rPr>
          <w:rFonts w:ascii="Calibri" w:hAnsi="Calibri"/>
          <w:sz w:val="24"/>
          <w:szCs w:val="28"/>
        </w:rPr>
        <w:t xml:space="preserve">In the SQ bidders are asked to describe their legal entity – along with the usual options there is now ‘Third Sector’ and there is an ‘Other’.  ‘Other’ requires bidders to provide more information.  Some </w:t>
      </w:r>
      <w:proofErr w:type="spellStart"/>
      <w:r w:rsidRPr="007629A1">
        <w:rPr>
          <w:rFonts w:ascii="Calibri" w:hAnsi="Calibri"/>
          <w:sz w:val="24"/>
          <w:szCs w:val="28"/>
        </w:rPr>
        <w:t>NfPs</w:t>
      </w:r>
      <w:proofErr w:type="spellEnd"/>
      <w:r w:rsidRPr="007629A1">
        <w:rPr>
          <w:rFonts w:ascii="Calibri" w:hAnsi="Calibri"/>
          <w:sz w:val="24"/>
          <w:szCs w:val="28"/>
        </w:rPr>
        <w:t xml:space="preserve"> will choose ‘Third Sector’ and others will chose ‘Limited Company’ and there is different information required for each – like an indemnity.  These are not assessment criteria but are used by the LAA for identification and verification purposes;</w:t>
      </w:r>
    </w:p>
    <w:p w14:paraId="3F837372" w14:textId="77777777" w:rsidR="00A304C9" w:rsidRPr="007629A1" w:rsidRDefault="00A304C9" w:rsidP="00A304C9">
      <w:pPr>
        <w:numPr>
          <w:ilvl w:val="0"/>
          <w:numId w:val="14"/>
        </w:numPr>
        <w:jc w:val="both"/>
        <w:rPr>
          <w:rFonts w:ascii="Calibri" w:hAnsi="Calibri"/>
          <w:sz w:val="24"/>
          <w:szCs w:val="28"/>
        </w:rPr>
      </w:pPr>
      <w:r w:rsidRPr="007629A1">
        <w:rPr>
          <w:rFonts w:ascii="Calibri" w:hAnsi="Calibri"/>
          <w:sz w:val="24"/>
          <w:szCs w:val="28"/>
        </w:rPr>
        <w:t>The SQ and ITTs are designed to capture all the information the LAA needs without the need for document uploads – no verification information is required for example and will be sought later;</w:t>
      </w:r>
    </w:p>
    <w:p w14:paraId="30F0B8CD" w14:textId="77777777" w:rsidR="00A304C9" w:rsidRPr="007629A1" w:rsidRDefault="00A304C9" w:rsidP="00A304C9">
      <w:pPr>
        <w:numPr>
          <w:ilvl w:val="0"/>
          <w:numId w:val="14"/>
        </w:numPr>
        <w:jc w:val="both"/>
        <w:rPr>
          <w:rFonts w:ascii="Calibri" w:hAnsi="Calibri"/>
          <w:sz w:val="24"/>
          <w:szCs w:val="28"/>
        </w:rPr>
      </w:pPr>
      <w:r w:rsidRPr="007629A1">
        <w:rPr>
          <w:rFonts w:ascii="Calibri" w:hAnsi="Calibri"/>
          <w:sz w:val="24"/>
          <w:szCs w:val="28"/>
        </w:rPr>
        <w:t>The first time the SQ and ITT(s) are submitted all registered users will receive a notification – they won’t if subsequently resubmitted;</w:t>
      </w:r>
    </w:p>
    <w:p w14:paraId="1DEE68E4" w14:textId="77777777" w:rsidR="00A304C9" w:rsidRPr="007629A1" w:rsidRDefault="00A304C9" w:rsidP="00A304C9">
      <w:pPr>
        <w:numPr>
          <w:ilvl w:val="0"/>
          <w:numId w:val="14"/>
        </w:numPr>
        <w:jc w:val="both"/>
        <w:rPr>
          <w:rFonts w:ascii="Calibri" w:hAnsi="Calibri"/>
          <w:sz w:val="24"/>
          <w:szCs w:val="28"/>
        </w:rPr>
      </w:pPr>
      <w:r w:rsidRPr="007629A1">
        <w:rPr>
          <w:rFonts w:ascii="Calibri" w:hAnsi="Calibri"/>
          <w:sz w:val="24"/>
          <w:szCs w:val="28"/>
        </w:rPr>
        <w:t>Bidders need to be careful when inputting office and procurement area details - if these don’t match the contract will be offered in the procurement areas and bidders have two options: (1) set up an office in the procurement area (note special rules for Mental Health as only 5 procurement areas) or (2) decline the contract.  The LAA does not seek to iron our discrepancies in terms of office locations during verification;</w:t>
      </w:r>
    </w:p>
    <w:p w14:paraId="5E3AB331" w14:textId="77777777" w:rsidR="00A304C9" w:rsidRPr="007629A1" w:rsidRDefault="00A304C9" w:rsidP="00A304C9">
      <w:pPr>
        <w:numPr>
          <w:ilvl w:val="0"/>
          <w:numId w:val="14"/>
        </w:numPr>
        <w:jc w:val="both"/>
        <w:rPr>
          <w:rFonts w:ascii="Calibri" w:hAnsi="Calibri"/>
          <w:sz w:val="24"/>
          <w:szCs w:val="28"/>
        </w:rPr>
      </w:pPr>
      <w:r w:rsidRPr="007629A1">
        <w:rPr>
          <w:rFonts w:ascii="Calibri" w:hAnsi="Calibri"/>
          <w:sz w:val="24"/>
          <w:szCs w:val="28"/>
        </w:rPr>
        <w:t xml:space="preserve">There is potential for confusion in the ITT when asked to enter office details if you have multiple offices. The system asks for your main office location (procurement area), then asks if you will be </w:t>
      </w:r>
      <w:r w:rsidRPr="007629A1">
        <w:rPr>
          <w:rFonts w:ascii="Calibri" w:hAnsi="Calibri"/>
          <w:sz w:val="24"/>
          <w:szCs w:val="28"/>
        </w:rPr>
        <w:lastRenderedPageBreak/>
        <w:t>bidding from another office, then asks for the address of office 1 – potential for confusion as some might then put office 2 details here;</w:t>
      </w:r>
    </w:p>
    <w:p w14:paraId="0CF939C4" w14:textId="77777777" w:rsidR="00A304C9" w:rsidRPr="007629A1" w:rsidRDefault="00A304C9" w:rsidP="00A304C9">
      <w:pPr>
        <w:numPr>
          <w:ilvl w:val="0"/>
          <w:numId w:val="14"/>
        </w:numPr>
        <w:jc w:val="both"/>
        <w:rPr>
          <w:rFonts w:ascii="Calibri" w:hAnsi="Calibri"/>
          <w:sz w:val="24"/>
          <w:szCs w:val="28"/>
        </w:rPr>
      </w:pPr>
      <w:r w:rsidRPr="007629A1">
        <w:rPr>
          <w:rFonts w:ascii="Calibri" w:hAnsi="Calibri"/>
          <w:sz w:val="24"/>
          <w:szCs w:val="28"/>
        </w:rPr>
        <w:t>Bidding above Lot 3 will require a Delivery Plan – all of which is added within the ITT rather than through a document upload.  If the DP is rejected the bidders will receive a contract for Lot 3;</w:t>
      </w:r>
    </w:p>
    <w:p w14:paraId="5029DB4F" w14:textId="77777777" w:rsidR="00A304C9" w:rsidRPr="007629A1" w:rsidRDefault="00A304C9" w:rsidP="00A304C9">
      <w:pPr>
        <w:numPr>
          <w:ilvl w:val="0"/>
          <w:numId w:val="14"/>
        </w:numPr>
        <w:jc w:val="both"/>
        <w:rPr>
          <w:rFonts w:ascii="Calibri" w:hAnsi="Calibri"/>
          <w:sz w:val="24"/>
          <w:szCs w:val="28"/>
        </w:rPr>
      </w:pPr>
      <w:r w:rsidRPr="007629A1">
        <w:rPr>
          <w:rFonts w:ascii="Calibri" w:hAnsi="Calibri"/>
          <w:sz w:val="24"/>
          <w:szCs w:val="28"/>
        </w:rPr>
        <w:t>The forms don’t autosave as you go along so users should save regularly.</w:t>
      </w:r>
    </w:p>
    <w:p w14:paraId="70CF4DFF" w14:textId="77777777" w:rsidR="00A304C9" w:rsidRPr="007629A1" w:rsidRDefault="00A304C9" w:rsidP="0054794A">
      <w:pPr>
        <w:jc w:val="both"/>
        <w:rPr>
          <w:rFonts w:ascii="Calibri" w:hAnsi="Calibri"/>
          <w:sz w:val="24"/>
          <w:szCs w:val="28"/>
        </w:rPr>
      </w:pPr>
    </w:p>
    <w:sectPr w:rsidR="00A304C9" w:rsidRPr="007629A1" w:rsidSect="007629A1">
      <w:pgSz w:w="12240" w:h="15840"/>
      <w:pgMar w:top="1276" w:right="1276"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6B262" w14:textId="77777777" w:rsidR="0038238C" w:rsidRDefault="0038238C" w:rsidP="003E4263">
      <w:pPr>
        <w:spacing w:after="0" w:line="240" w:lineRule="auto"/>
      </w:pPr>
      <w:r>
        <w:separator/>
      </w:r>
    </w:p>
  </w:endnote>
  <w:endnote w:type="continuationSeparator" w:id="0">
    <w:p w14:paraId="7A257461" w14:textId="77777777" w:rsidR="0038238C" w:rsidRDefault="0038238C" w:rsidP="003E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Sans_PDF_Subse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98C9" w14:textId="77777777" w:rsidR="002D2852" w:rsidRDefault="002D2852" w:rsidP="005D57CF">
    <w:pPr>
      <w:pStyle w:val="Header"/>
      <w:pBdr>
        <w:bottom w:val="single" w:sz="4" w:space="1" w:color="D9D9D9"/>
      </w:pBdr>
      <w:jc w:val="right"/>
      <w:rPr>
        <w:b/>
        <w:bCs/>
      </w:rPr>
    </w:pPr>
    <w:r w:rsidRPr="008D1CB6">
      <w:rPr>
        <w:rFonts w:ascii="Calibri" w:hAnsi="Calibri"/>
        <w:color w:val="808080"/>
        <w:spacing w:val="60"/>
        <w:sz w:val="16"/>
      </w:rPr>
      <w:t>Page</w:t>
    </w:r>
    <w:r w:rsidRPr="008D1CB6">
      <w:rPr>
        <w:rFonts w:ascii="Calibri" w:hAnsi="Calibri"/>
        <w:sz w:val="16"/>
      </w:rPr>
      <w:t xml:space="preserve"> |</w:t>
    </w:r>
    <w:r w:rsidRPr="008D1CB6">
      <w:rPr>
        <w:sz w:val="16"/>
      </w:rPr>
      <w:t xml:space="preserve"> </w:t>
    </w:r>
    <w:r w:rsidRPr="008D1CB6">
      <w:rPr>
        <w:rFonts w:ascii="Calibri" w:hAnsi="Calibri"/>
        <w:b/>
        <w:sz w:val="16"/>
        <w:szCs w:val="16"/>
      </w:rPr>
      <w:fldChar w:fldCharType="begin"/>
    </w:r>
    <w:r w:rsidRPr="008D1CB6">
      <w:rPr>
        <w:rFonts w:ascii="Calibri" w:hAnsi="Calibri"/>
        <w:b/>
        <w:sz w:val="16"/>
        <w:szCs w:val="16"/>
      </w:rPr>
      <w:instrText xml:space="preserve"> PAGE   \* MERGEFORMAT </w:instrText>
    </w:r>
    <w:r w:rsidRPr="008D1CB6">
      <w:rPr>
        <w:rFonts w:ascii="Calibri" w:hAnsi="Calibri"/>
        <w:b/>
        <w:sz w:val="16"/>
        <w:szCs w:val="16"/>
      </w:rPr>
      <w:fldChar w:fldCharType="separate"/>
    </w:r>
    <w:r w:rsidRPr="00F70B18">
      <w:rPr>
        <w:rFonts w:ascii="Calibri" w:hAnsi="Calibri"/>
        <w:b/>
        <w:bCs/>
        <w:noProof/>
        <w:sz w:val="16"/>
        <w:szCs w:val="16"/>
      </w:rPr>
      <w:t>2</w:t>
    </w:r>
    <w:r w:rsidRPr="008D1CB6">
      <w:rPr>
        <w:rFonts w:ascii="Calibri" w:hAnsi="Calibri"/>
        <w:b/>
        <w:bCs/>
        <w:noProof/>
        <w:sz w:val="16"/>
        <w:szCs w:val="16"/>
      </w:rPr>
      <w:fldChar w:fldCharType="end"/>
    </w:r>
  </w:p>
  <w:p w14:paraId="5F9E2E3C" w14:textId="77777777" w:rsidR="002D2852" w:rsidRDefault="002D2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273061"/>
      <w:docPartObj>
        <w:docPartGallery w:val="Page Numbers (Bottom of Page)"/>
        <w:docPartUnique/>
      </w:docPartObj>
    </w:sdtPr>
    <w:sdtEndPr>
      <w:rPr>
        <w:noProof/>
        <w:sz w:val="18"/>
        <w:szCs w:val="18"/>
      </w:rPr>
    </w:sdtEndPr>
    <w:sdtContent>
      <w:p w14:paraId="5F9EDB6F" w14:textId="4B9FB430" w:rsidR="002D2852" w:rsidRPr="003E4263" w:rsidRDefault="002D2852">
        <w:pPr>
          <w:pStyle w:val="Footer"/>
          <w:rPr>
            <w:sz w:val="18"/>
            <w:szCs w:val="18"/>
          </w:rPr>
        </w:pPr>
        <w:r w:rsidRPr="003E4263">
          <w:rPr>
            <w:sz w:val="18"/>
            <w:szCs w:val="18"/>
          </w:rPr>
          <w:t xml:space="preserve">Page </w:t>
        </w:r>
        <w:r w:rsidRPr="003E4263">
          <w:rPr>
            <w:color w:val="00B0F0"/>
            <w:sz w:val="18"/>
            <w:szCs w:val="18"/>
          </w:rPr>
          <w:t>|</w:t>
        </w:r>
        <w:r w:rsidRPr="003E4263">
          <w:rPr>
            <w:sz w:val="18"/>
            <w:szCs w:val="18"/>
          </w:rPr>
          <w:t xml:space="preserve"> </w:t>
        </w:r>
        <w:r w:rsidRPr="003E4263">
          <w:rPr>
            <w:sz w:val="18"/>
            <w:szCs w:val="18"/>
          </w:rPr>
          <w:fldChar w:fldCharType="begin"/>
        </w:r>
        <w:r w:rsidRPr="003E4263">
          <w:rPr>
            <w:sz w:val="18"/>
            <w:szCs w:val="18"/>
          </w:rPr>
          <w:instrText xml:space="preserve"> PAGE   \* MERGEFORMAT </w:instrText>
        </w:r>
        <w:r w:rsidRPr="003E4263">
          <w:rPr>
            <w:sz w:val="18"/>
            <w:szCs w:val="18"/>
          </w:rPr>
          <w:fldChar w:fldCharType="separate"/>
        </w:r>
        <w:r w:rsidR="00E43A57">
          <w:rPr>
            <w:noProof/>
            <w:sz w:val="18"/>
            <w:szCs w:val="18"/>
          </w:rPr>
          <w:t>21</w:t>
        </w:r>
        <w:r w:rsidRPr="003E4263">
          <w:rPr>
            <w:noProof/>
            <w:sz w:val="18"/>
            <w:szCs w:val="18"/>
          </w:rPr>
          <w:fldChar w:fldCharType="end"/>
        </w:r>
        <w:r w:rsidR="001E3C0D">
          <w:rPr>
            <w:noProof/>
            <w:sz w:val="18"/>
            <w:szCs w:val="18"/>
          </w:rPr>
          <w:tab/>
          <w:t>V1</w:t>
        </w:r>
        <w:r w:rsidR="001E3C0D">
          <w:rPr>
            <w:noProof/>
            <w:sz w:val="18"/>
            <w:szCs w:val="18"/>
          </w:rPr>
          <w:tab/>
          <w:t>30 September 2017</w:t>
        </w:r>
      </w:p>
    </w:sdtContent>
  </w:sdt>
  <w:p w14:paraId="6C5518CC" w14:textId="77777777" w:rsidR="002D2852" w:rsidRDefault="002D2852">
    <w:pPr>
      <w:pStyle w:val="Footer"/>
    </w:pPr>
  </w:p>
  <w:p w14:paraId="17A54465" w14:textId="77777777" w:rsidR="002D2852" w:rsidRDefault="002D2852"/>
  <w:p w14:paraId="3A3D9AF4" w14:textId="77777777" w:rsidR="002D2852" w:rsidRDefault="002D28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3019"/>
      <w:docPartObj>
        <w:docPartGallery w:val="Page Numbers (Bottom of Page)"/>
        <w:docPartUnique/>
      </w:docPartObj>
    </w:sdtPr>
    <w:sdtEndPr/>
    <w:sdtContent>
      <w:p w14:paraId="69D96F24" w14:textId="7150239C" w:rsidR="002D2852" w:rsidRDefault="002D2852">
        <w:pPr>
          <w:pStyle w:val="Footer"/>
          <w:jc w:val="right"/>
        </w:pPr>
        <w:r>
          <w:t xml:space="preserve">Page | </w:t>
        </w:r>
        <w:r>
          <w:fldChar w:fldCharType="begin"/>
        </w:r>
        <w:r>
          <w:instrText xml:space="preserve"> PAGE   \* MERGEFORMAT </w:instrText>
        </w:r>
        <w:r>
          <w:fldChar w:fldCharType="separate"/>
        </w:r>
        <w:r w:rsidR="00E43A57">
          <w:rPr>
            <w:noProof/>
          </w:rPr>
          <w:t>24</w:t>
        </w:r>
        <w:r>
          <w:rPr>
            <w:noProof/>
          </w:rPr>
          <w:fldChar w:fldCharType="end"/>
        </w:r>
        <w:r>
          <w:t xml:space="preserve"> </w:t>
        </w:r>
      </w:p>
    </w:sdtContent>
  </w:sdt>
  <w:p w14:paraId="5589B3DC" w14:textId="77777777" w:rsidR="002D2852" w:rsidRDefault="002D2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F56EB" w14:textId="77777777" w:rsidR="0038238C" w:rsidRDefault="0038238C" w:rsidP="003E4263">
      <w:pPr>
        <w:spacing w:after="0" w:line="240" w:lineRule="auto"/>
      </w:pPr>
      <w:r>
        <w:separator/>
      </w:r>
    </w:p>
  </w:footnote>
  <w:footnote w:type="continuationSeparator" w:id="0">
    <w:p w14:paraId="11B49965" w14:textId="77777777" w:rsidR="0038238C" w:rsidRDefault="0038238C" w:rsidP="003E4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CBC8E" w14:textId="77777777" w:rsidR="002D2852" w:rsidRDefault="002D2852" w:rsidP="005D57CF">
    <w:pPr>
      <w:pStyle w:val="Header"/>
      <w:tabs>
        <w:tab w:val="clear" w:pos="4513"/>
        <w:tab w:val="clear" w:pos="9026"/>
        <w:tab w:val="left" w:pos="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918"/>
    <w:multiLevelType w:val="hybridMultilevel"/>
    <w:tmpl w:val="18FA6E1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385657"/>
    <w:multiLevelType w:val="hybridMultilevel"/>
    <w:tmpl w:val="8EB89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C0556"/>
    <w:multiLevelType w:val="hybridMultilevel"/>
    <w:tmpl w:val="BC883B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8B06C5"/>
    <w:multiLevelType w:val="hybridMultilevel"/>
    <w:tmpl w:val="D2242BD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1F3A29B2"/>
    <w:multiLevelType w:val="hybridMultilevel"/>
    <w:tmpl w:val="B816C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801A1"/>
    <w:multiLevelType w:val="hybridMultilevel"/>
    <w:tmpl w:val="48D8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72220"/>
    <w:multiLevelType w:val="hybridMultilevel"/>
    <w:tmpl w:val="AF7A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866EA"/>
    <w:multiLevelType w:val="hybridMultilevel"/>
    <w:tmpl w:val="14A2C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526D"/>
    <w:multiLevelType w:val="hybridMultilevel"/>
    <w:tmpl w:val="CE9A5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471E07"/>
    <w:multiLevelType w:val="hybridMultilevel"/>
    <w:tmpl w:val="6332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2052B"/>
    <w:multiLevelType w:val="multilevel"/>
    <w:tmpl w:val="BDBA3C28"/>
    <w:lvl w:ilvl="0">
      <w:start w:val="1"/>
      <w:numFmt w:val="decimal"/>
      <w:pStyle w:val="ScheduleLevel1"/>
      <w:lvlText w:val="%1"/>
      <w:lvlJc w:val="left"/>
      <w:pPr>
        <w:tabs>
          <w:tab w:val="num" w:pos="720"/>
        </w:tabs>
        <w:ind w:left="720" w:hanging="720"/>
      </w:pPr>
    </w:lvl>
    <w:lvl w:ilvl="1">
      <w:start w:val="1"/>
      <w:numFmt w:val="decimal"/>
      <w:pStyle w:val="ScheduleLevel2"/>
      <w:lvlText w:val="%1.%2"/>
      <w:lvlJc w:val="left"/>
      <w:pPr>
        <w:tabs>
          <w:tab w:val="num" w:pos="1440"/>
        </w:tabs>
        <w:ind w:left="1440" w:hanging="720"/>
      </w:pPr>
    </w:lvl>
    <w:lvl w:ilvl="2">
      <w:start w:val="1"/>
      <w:numFmt w:val="decimal"/>
      <w:pStyle w:val="ScheduleLevel3"/>
      <w:lvlText w:val="%1.%2.%3"/>
      <w:lvlJc w:val="left"/>
      <w:pPr>
        <w:tabs>
          <w:tab w:val="num" w:pos="2160"/>
        </w:tabs>
        <w:ind w:left="2160" w:hanging="720"/>
      </w:pPr>
    </w:lvl>
    <w:lvl w:ilvl="3">
      <w:start w:val="1"/>
      <w:numFmt w:val="decimal"/>
      <w:pStyle w:val="ScheduleLevel4"/>
      <w:lvlText w:val="%1.%2.%3.%4"/>
      <w:lvlJc w:val="left"/>
      <w:pPr>
        <w:tabs>
          <w:tab w:val="num" w:pos="3168"/>
        </w:tabs>
        <w:ind w:left="3168" w:hanging="1008"/>
      </w:pPr>
    </w:lvl>
    <w:lvl w:ilvl="4">
      <w:start w:val="1"/>
      <w:numFmt w:val="decimal"/>
      <w:pStyle w:val="ScheduleLevel5"/>
      <w:lvlText w:val="%1.%2.%3.%4.%5"/>
      <w:lvlJc w:val="left"/>
      <w:pPr>
        <w:tabs>
          <w:tab w:val="num" w:pos="4320"/>
        </w:tabs>
        <w:ind w:left="4320" w:hanging="1152"/>
      </w:pPr>
    </w:lvl>
    <w:lvl w:ilvl="5">
      <w:start w:val="1"/>
      <w:numFmt w:val="decimal"/>
      <w:pStyle w:val="ScheduleLevel6"/>
      <w:lvlText w:val="%1.%2.%3.%4.%5.%6"/>
      <w:lvlJc w:val="left"/>
      <w:pPr>
        <w:ind w:left="5472" w:hanging="1152"/>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74F8F"/>
    <w:multiLevelType w:val="hybridMultilevel"/>
    <w:tmpl w:val="BC883B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19F0A3E"/>
    <w:multiLevelType w:val="hybridMultilevel"/>
    <w:tmpl w:val="1EC6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06B72"/>
    <w:multiLevelType w:val="hybridMultilevel"/>
    <w:tmpl w:val="A076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9A5F9E"/>
    <w:multiLevelType w:val="hybridMultilevel"/>
    <w:tmpl w:val="FE0C9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528410D"/>
    <w:multiLevelType w:val="hybridMultilevel"/>
    <w:tmpl w:val="7D96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554612"/>
    <w:multiLevelType w:val="hybridMultilevel"/>
    <w:tmpl w:val="FCC019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2"/>
  </w:num>
  <w:num w:numId="5">
    <w:abstractNumId w:val="0"/>
  </w:num>
  <w:num w:numId="6">
    <w:abstractNumId w:val="11"/>
  </w:num>
  <w:num w:numId="7">
    <w:abstractNumId w:val="2"/>
  </w:num>
  <w:num w:numId="8">
    <w:abstractNumId w:val="7"/>
  </w:num>
  <w:num w:numId="9">
    <w:abstractNumId w:val="4"/>
  </w:num>
  <w:num w:numId="10">
    <w:abstractNumId w:val="13"/>
  </w:num>
  <w:num w:numId="11">
    <w:abstractNumId w:val="14"/>
  </w:num>
  <w:num w:numId="12">
    <w:abstractNumId w:val="15"/>
  </w:num>
  <w:num w:numId="13">
    <w:abstractNumId w:val="16"/>
  </w:num>
  <w:num w:numId="14">
    <w:abstractNumId w:val="8"/>
  </w:num>
  <w:num w:numId="15">
    <w:abstractNumId w:val="6"/>
  </w:num>
  <w:num w:numId="16">
    <w:abstractNumId w:val="9"/>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87"/>
    <w:rsid w:val="00000013"/>
    <w:rsid w:val="0000155E"/>
    <w:rsid w:val="00004DAF"/>
    <w:rsid w:val="000071F1"/>
    <w:rsid w:val="00007F9A"/>
    <w:rsid w:val="00022484"/>
    <w:rsid w:val="00023D22"/>
    <w:rsid w:val="0002431F"/>
    <w:rsid w:val="000271FF"/>
    <w:rsid w:val="00035302"/>
    <w:rsid w:val="00036D59"/>
    <w:rsid w:val="00040AD4"/>
    <w:rsid w:val="00042BB0"/>
    <w:rsid w:val="0004518C"/>
    <w:rsid w:val="0005319B"/>
    <w:rsid w:val="00053CC4"/>
    <w:rsid w:val="000544E9"/>
    <w:rsid w:val="00055FFB"/>
    <w:rsid w:val="000602F5"/>
    <w:rsid w:val="00061629"/>
    <w:rsid w:val="0007035D"/>
    <w:rsid w:val="00071539"/>
    <w:rsid w:val="000729B4"/>
    <w:rsid w:val="00075263"/>
    <w:rsid w:val="0008206E"/>
    <w:rsid w:val="00082768"/>
    <w:rsid w:val="00092CE7"/>
    <w:rsid w:val="00095A6F"/>
    <w:rsid w:val="000A6CEC"/>
    <w:rsid w:val="000A755B"/>
    <w:rsid w:val="000B2EC6"/>
    <w:rsid w:val="000B65E8"/>
    <w:rsid w:val="000C0185"/>
    <w:rsid w:val="000C2AF5"/>
    <w:rsid w:val="000C66A7"/>
    <w:rsid w:val="000D0BAB"/>
    <w:rsid w:val="000D24A4"/>
    <w:rsid w:val="000D3848"/>
    <w:rsid w:val="000D427C"/>
    <w:rsid w:val="000D7318"/>
    <w:rsid w:val="000E3E4D"/>
    <w:rsid w:val="000E71C9"/>
    <w:rsid w:val="000F1AEF"/>
    <w:rsid w:val="000F6E46"/>
    <w:rsid w:val="000F70DB"/>
    <w:rsid w:val="001063EE"/>
    <w:rsid w:val="001142FF"/>
    <w:rsid w:val="00121565"/>
    <w:rsid w:val="001277C3"/>
    <w:rsid w:val="00132BA0"/>
    <w:rsid w:val="00134022"/>
    <w:rsid w:val="001358C8"/>
    <w:rsid w:val="001447E9"/>
    <w:rsid w:val="00146B92"/>
    <w:rsid w:val="00147682"/>
    <w:rsid w:val="00152FE7"/>
    <w:rsid w:val="00161E30"/>
    <w:rsid w:val="001651D5"/>
    <w:rsid w:val="0016688C"/>
    <w:rsid w:val="00166B6D"/>
    <w:rsid w:val="00171826"/>
    <w:rsid w:val="00171EA7"/>
    <w:rsid w:val="00175585"/>
    <w:rsid w:val="00181FE2"/>
    <w:rsid w:val="001919C1"/>
    <w:rsid w:val="00192924"/>
    <w:rsid w:val="001932D8"/>
    <w:rsid w:val="0019368E"/>
    <w:rsid w:val="001944D9"/>
    <w:rsid w:val="001A0CDD"/>
    <w:rsid w:val="001A102C"/>
    <w:rsid w:val="001A6F33"/>
    <w:rsid w:val="001B3E81"/>
    <w:rsid w:val="001B767C"/>
    <w:rsid w:val="001C711A"/>
    <w:rsid w:val="001D29AB"/>
    <w:rsid w:val="001E2DF7"/>
    <w:rsid w:val="001E384C"/>
    <w:rsid w:val="001E3C0D"/>
    <w:rsid w:val="001E5638"/>
    <w:rsid w:val="001F0BB3"/>
    <w:rsid w:val="001F3310"/>
    <w:rsid w:val="001F79F1"/>
    <w:rsid w:val="00200948"/>
    <w:rsid w:val="00206F49"/>
    <w:rsid w:val="00210E12"/>
    <w:rsid w:val="002173C4"/>
    <w:rsid w:val="002229E0"/>
    <w:rsid w:val="002272C1"/>
    <w:rsid w:val="00240528"/>
    <w:rsid w:val="0024340D"/>
    <w:rsid w:val="002503DF"/>
    <w:rsid w:val="002604D3"/>
    <w:rsid w:val="00273945"/>
    <w:rsid w:val="00275F78"/>
    <w:rsid w:val="00276BB2"/>
    <w:rsid w:val="002773B1"/>
    <w:rsid w:val="002855FE"/>
    <w:rsid w:val="00287EC8"/>
    <w:rsid w:val="002A030A"/>
    <w:rsid w:val="002A466B"/>
    <w:rsid w:val="002A641C"/>
    <w:rsid w:val="002B3233"/>
    <w:rsid w:val="002B7F74"/>
    <w:rsid w:val="002C111D"/>
    <w:rsid w:val="002D2852"/>
    <w:rsid w:val="002D6499"/>
    <w:rsid w:val="002E19E2"/>
    <w:rsid w:val="002E5497"/>
    <w:rsid w:val="002F6DEC"/>
    <w:rsid w:val="0030033F"/>
    <w:rsid w:val="00301ED3"/>
    <w:rsid w:val="00304A61"/>
    <w:rsid w:val="00325F9B"/>
    <w:rsid w:val="00333618"/>
    <w:rsid w:val="0033643D"/>
    <w:rsid w:val="0034051D"/>
    <w:rsid w:val="00342ABA"/>
    <w:rsid w:val="0034796E"/>
    <w:rsid w:val="00351371"/>
    <w:rsid w:val="00354376"/>
    <w:rsid w:val="0035654B"/>
    <w:rsid w:val="003574B9"/>
    <w:rsid w:val="00362B9C"/>
    <w:rsid w:val="00362BF5"/>
    <w:rsid w:val="00362EB5"/>
    <w:rsid w:val="00363B5D"/>
    <w:rsid w:val="0037570A"/>
    <w:rsid w:val="0037713A"/>
    <w:rsid w:val="0038238C"/>
    <w:rsid w:val="00387449"/>
    <w:rsid w:val="003900AF"/>
    <w:rsid w:val="00394738"/>
    <w:rsid w:val="0039639E"/>
    <w:rsid w:val="003968A7"/>
    <w:rsid w:val="003A203D"/>
    <w:rsid w:val="003B68C7"/>
    <w:rsid w:val="003C0108"/>
    <w:rsid w:val="003D0747"/>
    <w:rsid w:val="003D0FD8"/>
    <w:rsid w:val="003D1042"/>
    <w:rsid w:val="003D4FD3"/>
    <w:rsid w:val="003D7338"/>
    <w:rsid w:val="003E4263"/>
    <w:rsid w:val="003E43F6"/>
    <w:rsid w:val="003E6111"/>
    <w:rsid w:val="003E7275"/>
    <w:rsid w:val="003F0679"/>
    <w:rsid w:val="003F166A"/>
    <w:rsid w:val="003F1725"/>
    <w:rsid w:val="0040528E"/>
    <w:rsid w:val="00406087"/>
    <w:rsid w:val="00407215"/>
    <w:rsid w:val="00410FA0"/>
    <w:rsid w:val="004177FD"/>
    <w:rsid w:val="004226C6"/>
    <w:rsid w:val="0042444F"/>
    <w:rsid w:val="0043262A"/>
    <w:rsid w:val="00452CAD"/>
    <w:rsid w:val="00461BF5"/>
    <w:rsid w:val="0047607D"/>
    <w:rsid w:val="00476177"/>
    <w:rsid w:val="004771A4"/>
    <w:rsid w:val="004A069E"/>
    <w:rsid w:val="004A1E9E"/>
    <w:rsid w:val="004A50BE"/>
    <w:rsid w:val="004A6386"/>
    <w:rsid w:val="004B4107"/>
    <w:rsid w:val="004B5AD5"/>
    <w:rsid w:val="004B76E8"/>
    <w:rsid w:val="004B7BCF"/>
    <w:rsid w:val="004C2D9F"/>
    <w:rsid w:val="004C5C6E"/>
    <w:rsid w:val="004C7A57"/>
    <w:rsid w:val="004D000C"/>
    <w:rsid w:val="004D3564"/>
    <w:rsid w:val="004E1D23"/>
    <w:rsid w:val="004E1D58"/>
    <w:rsid w:val="004E5984"/>
    <w:rsid w:val="00500E3D"/>
    <w:rsid w:val="00511221"/>
    <w:rsid w:val="00512A94"/>
    <w:rsid w:val="005152DF"/>
    <w:rsid w:val="00522697"/>
    <w:rsid w:val="00532227"/>
    <w:rsid w:val="00540FB4"/>
    <w:rsid w:val="0054794A"/>
    <w:rsid w:val="005526EC"/>
    <w:rsid w:val="005527DF"/>
    <w:rsid w:val="00553BC3"/>
    <w:rsid w:val="00554419"/>
    <w:rsid w:val="005548AA"/>
    <w:rsid w:val="00555056"/>
    <w:rsid w:val="00557AD0"/>
    <w:rsid w:val="005625BC"/>
    <w:rsid w:val="00565A8E"/>
    <w:rsid w:val="005667F2"/>
    <w:rsid w:val="00573924"/>
    <w:rsid w:val="00573971"/>
    <w:rsid w:val="00581CEE"/>
    <w:rsid w:val="0058216D"/>
    <w:rsid w:val="00590717"/>
    <w:rsid w:val="005A049C"/>
    <w:rsid w:val="005B4861"/>
    <w:rsid w:val="005B779A"/>
    <w:rsid w:val="005C7ED6"/>
    <w:rsid w:val="005D3DBC"/>
    <w:rsid w:val="005D57CF"/>
    <w:rsid w:val="005E4E3C"/>
    <w:rsid w:val="005F3AF4"/>
    <w:rsid w:val="0060177E"/>
    <w:rsid w:val="00602D65"/>
    <w:rsid w:val="00607833"/>
    <w:rsid w:val="006107D2"/>
    <w:rsid w:val="006143EF"/>
    <w:rsid w:val="006153DA"/>
    <w:rsid w:val="00623C68"/>
    <w:rsid w:val="00627CAC"/>
    <w:rsid w:val="00632316"/>
    <w:rsid w:val="006329AB"/>
    <w:rsid w:val="00642FD6"/>
    <w:rsid w:val="00644E3B"/>
    <w:rsid w:val="00645E3A"/>
    <w:rsid w:val="00660B55"/>
    <w:rsid w:val="006612DF"/>
    <w:rsid w:val="006640E2"/>
    <w:rsid w:val="0067065D"/>
    <w:rsid w:val="00670E4F"/>
    <w:rsid w:val="00670F67"/>
    <w:rsid w:val="00672AC7"/>
    <w:rsid w:val="006743CB"/>
    <w:rsid w:val="00684266"/>
    <w:rsid w:val="00687A80"/>
    <w:rsid w:val="00690579"/>
    <w:rsid w:val="0069311C"/>
    <w:rsid w:val="006937A5"/>
    <w:rsid w:val="006A5316"/>
    <w:rsid w:val="006B52E3"/>
    <w:rsid w:val="006D2429"/>
    <w:rsid w:val="006D27AA"/>
    <w:rsid w:val="006E284F"/>
    <w:rsid w:val="006E2A6B"/>
    <w:rsid w:val="006E6BE0"/>
    <w:rsid w:val="0071089B"/>
    <w:rsid w:val="0071424E"/>
    <w:rsid w:val="00715F42"/>
    <w:rsid w:val="00720FD4"/>
    <w:rsid w:val="00722FA7"/>
    <w:rsid w:val="007238D7"/>
    <w:rsid w:val="00725B9B"/>
    <w:rsid w:val="00753277"/>
    <w:rsid w:val="00755FE4"/>
    <w:rsid w:val="007629A1"/>
    <w:rsid w:val="0076637E"/>
    <w:rsid w:val="0077009B"/>
    <w:rsid w:val="00776738"/>
    <w:rsid w:val="00784AF5"/>
    <w:rsid w:val="00792739"/>
    <w:rsid w:val="00793F94"/>
    <w:rsid w:val="00795BB7"/>
    <w:rsid w:val="007A4C15"/>
    <w:rsid w:val="007A715C"/>
    <w:rsid w:val="007B118A"/>
    <w:rsid w:val="007B6D46"/>
    <w:rsid w:val="007B6E1E"/>
    <w:rsid w:val="007B78E0"/>
    <w:rsid w:val="007C0A17"/>
    <w:rsid w:val="007C4BBA"/>
    <w:rsid w:val="007C7D1D"/>
    <w:rsid w:val="007D11C9"/>
    <w:rsid w:val="007D1403"/>
    <w:rsid w:val="007D4EAF"/>
    <w:rsid w:val="007D7CE9"/>
    <w:rsid w:val="007E0AF9"/>
    <w:rsid w:val="007E3EEE"/>
    <w:rsid w:val="007F0543"/>
    <w:rsid w:val="007F12AF"/>
    <w:rsid w:val="00802977"/>
    <w:rsid w:val="00803E76"/>
    <w:rsid w:val="00814CF7"/>
    <w:rsid w:val="0081695C"/>
    <w:rsid w:val="00817218"/>
    <w:rsid w:val="00820AC8"/>
    <w:rsid w:val="008210FA"/>
    <w:rsid w:val="0083286C"/>
    <w:rsid w:val="00840FD0"/>
    <w:rsid w:val="00845F10"/>
    <w:rsid w:val="00851E11"/>
    <w:rsid w:val="0085332F"/>
    <w:rsid w:val="00863F87"/>
    <w:rsid w:val="008662A0"/>
    <w:rsid w:val="00870188"/>
    <w:rsid w:val="008716E6"/>
    <w:rsid w:val="00871CCB"/>
    <w:rsid w:val="00873C5F"/>
    <w:rsid w:val="0088530F"/>
    <w:rsid w:val="00886EEF"/>
    <w:rsid w:val="00886FDE"/>
    <w:rsid w:val="008931B5"/>
    <w:rsid w:val="00894E9D"/>
    <w:rsid w:val="00895183"/>
    <w:rsid w:val="0089595F"/>
    <w:rsid w:val="008973B9"/>
    <w:rsid w:val="008B0351"/>
    <w:rsid w:val="008B151D"/>
    <w:rsid w:val="008B2B47"/>
    <w:rsid w:val="008B35E1"/>
    <w:rsid w:val="008B58F2"/>
    <w:rsid w:val="008C49AE"/>
    <w:rsid w:val="008C7E74"/>
    <w:rsid w:val="008E0694"/>
    <w:rsid w:val="008E1C00"/>
    <w:rsid w:val="008E3DE3"/>
    <w:rsid w:val="008F084C"/>
    <w:rsid w:val="00904C21"/>
    <w:rsid w:val="00917D04"/>
    <w:rsid w:val="00921DF5"/>
    <w:rsid w:val="009221E8"/>
    <w:rsid w:val="00933025"/>
    <w:rsid w:val="00934937"/>
    <w:rsid w:val="00942304"/>
    <w:rsid w:val="00945D8E"/>
    <w:rsid w:val="00952951"/>
    <w:rsid w:val="0095426D"/>
    <w:rsid w:val="00954933"/>
    <w:rsid w:val="00962A6F"/>
    <w:rsid w:val="0097758B"/>
    <w:rsid w:val="00977718"/>
    <w:rsid w:val="00981DFE"/>
    <w:rsid w:val="00982D10"/>
    <w:rsid w:val="00992A78"/>
    <w:rsid w:val="009A0320"/>
    <w:rsid w:val="009A4D4A"/>
    <w:rsid w:val="009A4F21"/>
    <w:rsid w:val="009B2D54"/>
    <w:rsid w:val="009B5A78"/>
    <w:rsid w:val="009B5B99"/>
    <w:rsid w:val="009C001E"/>
    <w:rsid w:val="009C051A"/>
    <w:rsid w:val="009D40FD"/>
    <w:rsid w:val="009D45F0"/>
    <w:rsid w:val="009D4FE8"/>
    <w:rsid w:val="009E1075"/>
    <w:rsid w:val="009E6593"/>
    <w:rsid w:val="009F1ECA"/>
    <w:rsid w:val="009F2A61"/>
    <w:rsid w:val="009F6BF1"/>
    <w:rsid w:val="00A00CE2"/>
    <w:rsid w:val="00A03E01"/>
    <w:rsid w:val="00A0708F"/>
    <w:rsid w:val="00A07F6C"/>
    <w:rsid w:val="00A1220F"/>
    <w:rsid w:val="00A122DB"/>
    <w:rsid w:val="00A12912"/>
    <w:rsid w:val="00A2063E"/>
    <w:rsid w:val="00A21FC9"/>
    <w:rsid w:val="00A24B4F"/>
    <w:rsid w:val="00A303B7"/>
    <w:rsid w:val="00A304C9"/>
    <w:rsid w:val="00A3313A"/>
    <w:rsid w:val="00A44AF0"/>
    <w:rsid w:val="00A4688D"/>
    <w:rsid w:val="00A5194B"/>
    <w:rsid w:val="00A53C84"/>
    <w:rsid w:val="00A57303"/>
    <w:rsid w:val="00A64716"/>
    <w:rsid w:val="00A75185"/>
    <w:rsid w:val="00A77E38"/>
    <w:rsid w:val="00A92C77"/>
    <w:rsid w:val="00AA04A2"/>
    <w:rsid w:val="00AA15C9"/>
    <w:rsid w:val="00AA43FF"/>
    <w:rsid w:val="00AB5F6D"/>
    <w:rsid w:val="00AC161F"/>
    <w:rsid w:val="00AC5668"/>
    <w:rsid w:val="00AC6202"/>
    <w:rsid w:val="00AC779D"/>
    <w:rsid w:val="00AD2B72"/>
    <w:rsid w:val="00AD3C02"/>
    <w:rsid w:val="00AD4F46"/>
    <w:rsid w:val="00AD6A60"/>
    <w:rsid w:val="00AF3C3A"/>
    <w:rsid w:val="00B02B73"/>
    <w:rsid w:val="00B14D2F"/>
    <w:rsid w:val="00B169C2"/>
    <w:rsid w:val="00B26B68"/>
    <w:rsid w:val="00B273A2"/>
    <w:rsid w:val="00B3417F"/>
    <w:rsid w:val="00B34DB7"/>
    <w:rsid w:val="00B4008C"/>
    <w:rsid w:val="00B409A1"/>
    <w:rsid w:val="00B41884"/>
    <w:rsid w:val="00B429B2"/>
    <w:rsid w:val="00B451E8"/>
    <w:rsid w:val="00B474EE"/>
    <w:rsid w:val="00B47E4D"/>
    <w:rsid w:val="00B55AEC"/>
    <w:rsid w:val="00B5625E"/>
    <w:rsid w:val="00B6478D"/>
    <w:rsid w:val="00B802FD"/>
    <w:rsid w:val="00B81451"/>
    <w:rsid w:val="00B84B33"/>
    <w:rsid w:val="00B92EBD"/>
    <w:rsid w:val="00B9382A"/>
    <w:rsid w:val="00B95235"/>
    <w:rsid w:val="00BC1253"/>
    <w:rsid w:val="00BC2751"/>
    <w:rsid w:val="00BC3B39"/>
    <w:rsid w:val="00BC58AF"/>
    <w:rsid w:val="00BC5ACF"/>
    <w:rsid w:val="00BC71A1"/>
    <w:rsid w:val="00BC7A9E"/>
    <w:rsid w:val="00BE484D"/>
    <w:rsid w:val="00BF6772"/>
    <w:rsid w:val="00C01E75"/>
    <w:rsid w:val="00C06D99"/>
    <w:rsid w:val="00C07FDE"/>
    <w:rsid w:val="00C14950"/>
    <w:rsid w:val="00C1614E"/>
    <w:rsid w:val="00C20FCC"/>
    <w:rsid w:val="00C2334F"/>
    <w:rsid w:val="00C237B1"/>
    <w:rsid w:val="00C466A7"/>
    <w:rsid w:val="00C5489D"/>
    <w:rsid w:val="00C72E3B"/>
    <w:rsid w:val="00C741B7"/>
    <w:rsid w:val="00C82D5C"/>
    <w:rsid w:val="00C83409"/>
    <w:rsid w:val="00C93E16"/>
    <w:rsid w:val="00CA6672"/>
    <w:rsid w:val="00CA69B6"/>
    <w:rsid w:val="00CB03DD"/>
    <w:rsid w:val="00CB3E1F"/>
    <w:rsid w:val="00CB6C18"/>
    <w:rsid w:val="00CD1E22"/>
    <w:rsid w:val="00CD28AF"/>
    <w:rsid w:val="00CE1BDD"/>
    <w:rsid w:val="00CE661D"/>
    <w:rsid w:val="00CE6C49"/>
    <w:rsid w:val="00CE7A0E"/>
    <w:rsid w:val="00CF5449"/>
    <w:rsid w:val="00CF71D1"/>
    <w:rsid w:val="00D01C32"/>
    <w:rsid w:val="00D05E55"/>
    <w:rsid w:val="00D06DC3"/>
    <w:rsid w:val="00D12C28"/>
    <w:rsid w:val="00D13B98"/>
    <w:rsid w:val="00D159DD"/>
    <w:rsid w:val="00D170BE"/>
    <w:rsid w:val="00D221F1"/>
    <w:rsid w:val="00D22624"/>
    <w:rsid w:val="00D24332"/>
    <w:rsid w:val="00D253CC"/>
    <w:rsid w:val="00D25F8A"/>
    <w:rsid w:val="00D31F90"/>
    <w:rsid w:val="00D358F2"/>
    <w:rsid w:val="00D35B2B"/>
    <w:rsid w:val="00D416F1"/>
    <w:rsid w:val="00D42027"/>
    <w:rsid w:val="00D42FB8"/>
    <w:rsid w:val="00D43150"/>
    <w:rsid w:val="00D45261"/>
    <w:rsid w:val="00D4742B"/>
    <w:rsid w:val="00D51F67"/>
    <w:rsid w:val="00D56139"/>
    <w:rsid w:val="00D720BB"/>
    <w:rsid w:val="00D744CA"/>
    <w:rsid w:val="00D75EBC"/>
    <w:rsid w:val="00D83802"/>
    <w:rsid w:val="00D84ACD"/>
    <w:rsid w:val="00D87FE5"/>
    <w:rsid w:val="00D937B7"/>
    <w:rsid w:val="00D97B3A"/>
    <w:rsid w:val="00DA046B"/>
    <w:rsid w:val="00DA500A"/>
    <w:rsid w:val="00DB1865"/>
    <w:rsid w:val="00DB49B5"/>
    <w:rsid w:val="00DB71A9"/>
    <w:rsid w:val="00DC05F5"/>
    <w:rsid w:val="00DC1EED"/>
    <w:rsid w:val="00DC3853"/>
    <w:rsid w:val="00DC5D05"/>
    <w:rsid w:val="00DE15CC"/>
    <w:rsid w:val="00DE1CC6"/>
    <w:rsid w:val="00DE1FEC"/>
    <w:rsid w:val="00DE3BE6"/>
    <w:rsid w:val="00DE6E9F"/>
    <w:rsid w:val="00DF40D9"/>
    <w:rsid w:val="00E00832"/>
    <w:rsid w:val="00E03C15"/>
    <w:rsid w:val="00E04080"/>
    <w:rsid w:val="00E04D13"/>
    <w:rsid w:val="00E05362"/>
    <w:rsid w:val="00E10090"/>
    <w:rsid w:val="00E14FFE"/>
    <w:rsid w:val="00E15D99"/>
    <w:rsid w:val="00E17642"/>
    <w:rsid w:val="00E22146"/>
    <w:rsid w:val="00E22FDD"/>
    <w:rsid w:val="00E23277"/>
    <w:rsid w:val="00E24695"/>
    <w:rsid w:val="00E277DE"/>
    <w:rsid w:val="00E31EA2"/>
    <w:rsid w:val="00E33D5D"/>
    <w:rsid w:val="00E43A57"/>
    <w:rsid w:val="00E45F51"/>
    <w:rsid w:val="00E51AC8"/>
    <w:rsid w:val="00E53E0F"/>
    <w:rsid w:val="00E568C8"/>
    <w:rsid w:val="00E568DD"/>
    <w:rsid w:val="00E72769"/>
    <w:rsid w:val="00E74890"/>
    <w:rsid w:val="00E74B71"/>
    <w:rsid w:val="00EA19A2"/>
    <w:rsid w:val="00EB315F"/>
    <w:rsid w:val="00EC03AD"/>
    <w:rsid w:val="00EC61C8"/>
    <w:rsid w:val="00ED0AD8"/>
    <w:rsid w:val="00ED2B7B"/>
    <w:rsid w:val="00EF1C65"/>
    <w:rsid w:val="00EF33B3"/>
    <w:rsid w:val="00EF50DB"/>
    <w:rsid w:val="00F01867"/>
    <w:rsid w:val="00F12880"/>
    <w:rsid w:val="00F15183"/>
    <w:rsid w:val="00F24C33"/>
    <w:rsid w:val="00F25166"/>
    <w:rsid w:val="00F25174"/>
    <w:rsid w:val="00F25AAF"/>
    <w:rsid w:val="00F2675D"/>
    <w:rsid w:val="00F31184"/>
    <w:rsid w:val="00F43635"/>
    <w:rsid w:val="00F46708"/>
    <w:rsid w:val="00F50BC3"/>
    <w:rsid w:val="00F52B62"/>
    <w:rsid w:val="00F54E4E"/>
    <w:rsid w:val="00F55362"/>
    <w:rsid w:val="00F55D80"/>
    <w:rsid w:val="00F574E4"/>
    <w:rsid w:val="00F63D95"/>
    <w:rsid w:val="00F63E14"/>
    <w:rsid w:val="00F64CB3"/>
    <w:rsid w:val="00F6594A"/>
    <w:rsid w:val="00F70B18"/>
    <w:rsid w:val="00F71C5D"/>
    <w:rsid w:val="00F771DB"/>
    <w:rsid w:val="00F87B89"/>
    <w:rsid w:val="00F906CD"/>
    <w:rsid w:val="00F90A9E"/>
    <w:rsid w:val="00F90D6D"/>
    <w:rsid w:val="00FC47DA"/>
    <w:rsid w:val="00FC60E6"/>
    <w:rsid w:val="00FC6B14"/>
    <w:rsid w:val="00FC7B2D"/>
    <w:rsid w:val="00FD0351"/>
    <w:rsid w:val="00FD0C1D"/>
    <w:rsid w:val="00FD3489"/>
    <w:rsid w:val="00FD66AD"/>
    <w:rsid w:val="00FD7495"/>
    <w:rsid w:val="00FD7587"/>
    <w:rsid w:val="00FF3560"/>
    <w:rsid w:val="00FF66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BDFF5"/>
  <w15:docId w15:val="{93ADD3D7-8B94-412B-AB67-E9CF3619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DF7"/>
  </w:style>
  <w:style w:type="paragraph" w:styleId="Heading4">
    <w:name w:val="heading 4"/>
    <w:basedOn w:val="Normal"/>
    <w:next w:val="Normal"/>
    <w:link w:val="Heading4Char"/>
    <w:uiPriority w:val="9"/>
    <w:semiHidden/>
    <w:unhideWhenUsed/>
    <w:qFormat/>
    <w:rsid w:val="008973B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973B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70B18"/>
    <w:pPr>
      <w:keepNext/>
      <w:keepLines/>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qFormat/>
    <w:rsid w:val="00F70B18"/>
    <w:pPr>
      <w:spacing w:before="240" w:after="60"/>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06087"/>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406087"/>
    <w:rPr>
      <w:rFonts w:eastAsiaTheme="minorEastAsia"/>
      <w:i/>
      <w:iCs/>
      <w:color w:val="000000" w:themeColor="text1"/>
      <w:lang w:val="en-US" w:eastAsia="ja-JP"/>
    </w:rPr>
  </w:style>
  <w:style w:type="paragraph" w:styleId="BalloonText">
    <w:name w:val="Balloon Text"/>
    <w:basedOn w:val="Normal"/>
    <w:link w:val="BalloonTextChar"/>
    <w:uiPriority w:val="99"/>
    <w:semiHidden/>
    <w:unhideWhenUsed/>
    <w:rsid w:val="00406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087"/>
    <w:rPr>
      <w:rFonts w:ascii="Tahoma" w:hAnsi="Tahoma" w:cs="Tahoma"/>
      <w:sz w:val="16"/>
      <w:szCs w:val="16"/>
    </w:rPr>
  </w:style>
  <w:style w:type="paragraph" w:styleId="ListParagraph">
    <w:name w:val="List Paragraph"/>
    <w:basedOn w:val="Normal"/>
    <w:uiPriority w:val="34"/>
    <w:qFormat/>
    <w:rsid w:val="00820AC8"/>
    <w:pPr>
      <w:ind w:left="720"/>
      <w:contextualSpacing/>
    </w:pPr>
  </w:style>
  <w:style w:type="paragraph" w:customStyle="1" w:styleId="Default">
    <w:name w:val="Default"/>
    <w:rsid w:val="0095426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61E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heduleLevel1">
    <w:name w:val="Schedule Level 1"/>
    <w:basedOn w:val="BodyText"/>
    <w:qFormat/>
    <w:rsid w:val="00C5489D"/>
    <w:pPr>
      <w:numPr>
        <w:numId w:val="1"/>
      </w:numPr>
      <w:tabs>
        <w:tab w:val="clear" w:pos="720"/>
        <w:tab w:val="num" w:pos="360"/>
      </w:tabs>
      <w:spacing w:after="240" w:line="240" w:lineRule="auto"/>
      <w:ind w:left="0" w:firstLine="0"/>
      <w:jc w:val="both"/>
      <w:outlineLvl w:val="5"/>
    </w:pPr>
    <w:rPr>
      <w:rFonts w:ascii="Arial" w:hAnsi="Arial"/>
      <w:sz w:val="20"/>
      <w:szCs w:val="20"/>
    </w:rPr>
  </w:style>
  <w:style w:type="paragraph" w:customStyle="1" w:styleId="ScheduleLevel2">
    <w:name w:val="Schedule Level 2"/>
    <w:basedOn w:val="BodyText"/>
    <w:qFormat/>
    <w:rsid w:val="00C5489D"/>
    <w:pPr>
      <w:numPr>
        <w:ilvl w:val="1"/>
        <w:numId w:val="1"/>
      </w:numPr>
      <w:tabs>
        <w:tab w:val="clear" w:pos="1440"/>
        <w:tab w:val="num" w:pos="360"/>
      </w:tabs>
      <w:spacing w:after="240" w:line="240" w:lineRule="auto"/>
      <w:ind w:left="0" w:firstLine="0"/>
      <w:jc w:val="both"/>
      <w:outlineLvl w:val="6"/>
    </w:pPr>
    <w:rPr>
      <w:rFonts w:ascii="Arial" w:hAnsi="Arial"/>
      <w:sz w:val="20"/>
      <w:szCs w:val="20"/>
    </w:rPr>
  </w:style>
  <w:style w:type="paragraph" w:customStyle="1" w:styleId="ScheduleLevel3">
    <w:name w:val="Schedule Level 3"/>
    <w:basedOn w:val="BodyText"/>
    <w:qFormat/>
    <w:rsid w:val="00C5489D"/>
    <w:pPr>
      <w:numPr>
        <w:ilvl w:val="2"/>
        <w:numId w:val="1"/>
      </w:numPr>
      <w:tabs>
        <w:tab w:val="clear" w:pos="2160"/>
        <w:tab w:val="num" w:pos="360"/>
        <w:tab w:val="left" w:pos="2291"/>
      </w:tabs>
      <w:spacing w:after="240" w:line="240" w:lineRule="auto"/>
      <w:ind w:left="0" w:firstLine="0"/>
      <w:jc w:val="both"/>
      <w:outlineLvl w:val="7"/>
    </w:pPr>
    <w:rPr>
      <w:rFonts w:ascii="Arial" w:hAnsi="Arial"/>
      <w:sz w:val="20"/>
      <w:szCs w:val="20"/>
    </w:rPr>
  </w:style>
  <w:style w:type="paragraph" w:customStyle="1" w:styleId="ScheduleLevel4">
    <w:name w:val="Schedule Level 4"/>
    <w:basedOn w:val="BodyText"/>
    <w:qFormat/>
    <w:rsid w:val="00C5489D"/>
    <w:pPr>
      <w:numPr>
        <w:ilvl w:val="3"/>
        <w:numId w:val="1"/>
      </w:numPr>
      <w:tabs>
        <w:tab w:val="clear" w:pos="3168"/>
        <w:tab w:val="num" w:pos="360"/>
        <w:tab w:val="left" w:pos="3005"/>
      </w:tabs>
      <w:spacing w:after="240" w:line="240" w:lineRule="auto"/>
      <w:ind w:left="0" w:firstLine="0"/>
      <w:jc w:val="both"/>
      <w:outlineLvl w:val="8"/>
    </w:pPr>
    <w:rPr>
      <w:rFonts w:ascii="Arial" w:hAnsi="Arial"/>
      <w:sz w:val="20"/>
      <w:szCs w:val="20"/>
    </w:rPr>
  </w:style>
  <w:style w:type="paragraph" w:customStyle="1" w:styleId="ScheduleLevel5">
    <w:name w:val="Schedule Level 5"/>
    <w:basedOn w:val="BodyText"/>
    <w:qFormat/>
    <w:rsid w:val="00C5489D"/>
    <w:pPr>
      <w:numPr>
        <w:ilvl w:val="4"/>
        <w:numId w:val="1"/>
      </w:numPr>
      <w:tabs>
        <w:tab w:val="clear" w:pos="4320"/>
        <w:tab w:val="num" w:pos="360"/>
      </w:tabs>
      <w:spacing w:after="240" w:line="240" w:lineRule="auto"/>
      <w:ind w:left="0" w:firstLine="0"/>
      <w:jc w:val="both"/>
    </w:pPr>
    <w:rPr>
      <w:rFonts w:ascii="Arial" w:hAnsi="Arial"/>
      <w:sz w:val="20"/>
      <w:szCs w:val="20"/>
    </w:rPr>
  </w:style>
  <w:style w:type="paragraph" w:customStyle="1" w:styleId="ScheduleLevel6">
    <w:name w:val="Schedule Level 6"/>
    <w:basedOn w:val="BodyText"/>
    <w:qFormat/>
    <w:rsid w:val="00C5489D"/>
    <w:pPr>
      <w:numPr>
        <w:ilvl w:val="5"/>
        <w:numId w:val="1"/>
      </w:numPr>
      <w:tabs>
        <w:tab w:val="num" w:pos="360"/>
      </w:tabs>
      <w:spacing w:after="240" w:line="240" w:lineRule="auto"/>
      <w:ind w:left="0" w:firstLine="0"/>
      <w:jc w:val="both"/>
    </w:pPr>
    <w:rPr>
      <w:rFonts w:ascii="Arial" w:hAnsi="Arial"/>
      <w:sz w:val="20"/>
      <w:szCs w:val="20"/>
    </w:rPr>
  </w:style>
  <w:style w:type="paragraph" w:styleId="BodyText">
    <w:name w:val="Body Text"/>
    <w:basedOn w:val="Normal"/>
    <w:link w:val="BodyTextChar"/>
    <w:uiPriority w:val="99"/>
    <w:semiHidden/>
    <w:unhideWhenUsed/>
    <w:rsid w:val="00C5489D"/>
    <w:pPr>
      <w:spacing w:after="120"/>
    </w:pPr>
  </w:style>
  <w:style w:type="character" w:customStyle="1" w:styleId="BodyTextChar">
    <w:name w:val="Body Text Char"/>
    <w:basedOn w:val="DefaultParagraphFont"/>
    <w:link w:val="BodyText"/>
    <w:uiPriority w:val="99"/>
    <w:semiHidden/>
    <w:rsid w:val="00C5489D"/>
  </w:style>
  <w:style w:type="character" w:styleId="Strong">
    <w:name w:val="Strong"/>
    <w:basedOn w:val="DefaultParagraphFont"/>
    <w:uiPriority w:val="22"/>
    <w:qFormat/>
    <w:rsid w:val="00D24332"/>
    <w:rPr>
      <w:b/>
      <w:bCs/>
    </w:rPr>
  </w:style>
  <w:style w:type="character" w:styleId="Hyperlink">
    <w:name w:val="Hyperlink"/>
    <w:uiPriority w:val="99"/>
    <w:unhideWhenUsed/>
    <w:rsid w:val="003D0FD8"/>
    <w:rPr>
      <w:color w:val="0000FF"/>
      <w:u w:val="single"/>
    </w:rPr>
  </w:style>
  <w:style w:type="paragraph" w:customStyle="1" w:styleId="DefaultText">
    <w:name w:val="Default Text"/>
    <w:basedOn w:val="Normal"/>
    <w:rsid w:val="00E22146"/>
    <w:pPr>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lang w:val="en-US"/>
    </w:rPr>
  </w:style>
  <w:style w:type="paragraph" w:customStyle="1" w:styleId="Pa6">
    <w:name w:val="Pa6"/>
    <w:basedOn w:val="Normal"/>
    <w:next w:val="Normal"/>
    <w:uiPriority w:val="99"/>
    <w:rsid w:val="005B4861"/>
    <w:pPr>
      <w:autoSpaceDE w:val="0"/>
      <w:autoSpaceDN w:val="0"/>
      <w:adjustRightInd w:val="0"/>
      <w:spacing w:before="40" w:after="80" w:line="201" w:lineRule="atLeast"/>
    </w:pPr>
    <w:rPr>
      <w:rFonts w:ascii="Trebuchet MS" w:eastAsia="Calibri" w:hAnsi="Trebuchet MS" w:cs="Times New Roman"/>
      <w:sz w:val="24"/>
      <w:szCs w:val="24"/>
    </w:rPr>
  </w:style>
  <w:style w:type="character" w:styleId="HTMLCite">
    <w:name w:val="HTML Cite"/>
    <w:semiHidden/>
    <w:unhideWhenUsed/>
    <w:rsid w:val="00354376"/>
    <w:rPr>
      <w:i w:val="0"/>
      <w:iCs w:val="0"/>
    </w:rPr>
  </w:style>
  <w:style w:type="paragraph" w:styleId="BodyText2">
    <w:name w:val="Body Text 2"/>
    <w:basedOn w:val="Normal"/>
    <w:link w:val="BodyText2Char"/>
    <w:uiPriority w:val="99"/>
    <w:unhideWhenUsed/>
    <w:rsid w:val="0004518C"/>
    <w:pPr>
      <w:spacing w:after="120" w:line="480" w:lineRule="auto"/>
      <w:ind w:left="720" w:hanging="720"/>
    </w:pPr>
    <w:rPr>
      <w:rFonts w:ascii="Times New Roman" w:eastAsia="Times New Roman" w:hAnsi="Times New Roman" w:cs="Times New Roman"/>
      <w:sz w:val="24"/>
      <w:szCs w:val="24"/>
      <w:lang w:val="x-none"/>
    </w:rPr>
  </w:style>
  <w:style w:type="character" w:customStyle="1" w:styleId="BodyText2Char">
    <w:name w:val="Body Text 2 Char"/>
    <w:basedOn w:val="DefaultParagraphFont"/>
    <w:link w:val="BodyText2"/>
    <w:uiPriority w:val="99"/>
    <w:rsid w:val="0004518C"/>
    <w:rPr>
      <w:rFonts w:ascii="Times New Roman" w:eastAsia="Times New Roman" w:hAnsi="Times New Roman" w:cs="Times New Roman"/>
      <w:sz w:val="24"/>
      <w:szCs w:val="24"/>
      <w:lang w:val="x-none"/>
    </w:rPr>
  </w:style>
  <w:style w:type="paragraph" w:styleId="Header">
    <w:name w:val="header"/>
    <w:basedOn w:val="Normal"/>
    <w:link w:val="HeaderChar"/>
    <w:uiPriority w:val="99"/>
    <w:unhideWhenUsed/>
    <w:rsid w:val="003E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263"/>
  </w:style>
  <w:style w:type="paragraph" w:styleId="Footer">
    <w:name w:val="footer"/>
    <w:basedOn w:val="Normal"/>
    <w:link w:val="FooterChar"/>
    <w:uiPriority w:val="99"/>
    <w:unhideWhenUsed/>
    <w:rsid w:val="003E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263"/>
  </w:style>
  <w:style w:type="table" w:styleId="TableGrid">
    <w:name w:val="Table Grid"/>
    <w:basedOn w:val="TableNormal"/>
    <w:uiPriority w:val="39"/>
    <w:rsid w:val="00E53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4768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147682"/>
    <w:rPr>
      <w:rFonts w:ascii="Calibri" w:eastAsia="Times New Roman" w:hAnsi="Calibri" w:cs="Times New Roman"/>
      <w:lang w:val="en-US"/>
    </w:rPr>
  </w:style>
  <w:style w:type="character" w:customStyle="1" w:styleId="Heading6Char">
    <w:name w:val="Heading 6 Char"/>
    <w:basedOn w:val="DefaultParagraphFont"/>
    <w:link w:val="Heading6"/>
    <w:uiPriority w:val="9"/>
    <w:semiHidden/>
    <w:rsid w:val="00F70B1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F70B18"/>
    <w:rPr>
      <w:rFonts w:ascii="Calibri" w:eastAsia="Times New Roman" w:hAnsi="Calibri" w:cs="Times New Roman"/>
      <w:sz w:val="24"/>
      <w:szCs w:val="24"/>
    </w:rPr>
  </w:style>
  <w:style w:type="numbering" w:customStyle="1" w:styleId="NoList1">
    <w:name w:val="No List1"/>
    <w:next w:val="NoList"/>
    <w:uiPriority w:val="99"/>
    <w:semiHidden/>
    <w:unhideWhenUsed/>
    <w:rsid w:val="00F70B18"/>
  </w:style>
  <w:style w:type="table" w:customStyle="1" w:styleId="TableGrid1">
    <w:name w:val="Table Grid1"/>
    <w:basedOn w:val="TableNormal"/>
    <w:next w:val="TableGrid"/>
    <w:uiPriority w:val="39"/>
    <w:rsid w:val="00F7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70B18"/>
    <w:pPr>
      <w:autoSpaceDE w:val="0"/>
      <w:autoSpaceDN w:val="0"/>
      <w:spacing w:after="0" w:line="360" w:lineRule="auto"/>
    </w:pPr>
    <w:rPr>
      <w:rFonts w:ascii="Arial" w:eastAsia="Times New Roman" w:hAnsi="Arial" w:cs="Arial"/>
      <w:sz w:val="24"/>
      <w:szCs w:val="24"/>
    </w:rPr>
  </w:style>
  <w:style w:type="character" w:customStyle="1" w:styleId="BodyText3Char">
    <w:name w:val="Body Text 3 Char"/>
    <w:basedOn w:val="DefaultParagraphFont"/>
    <w:link w:val="BodyText3"/>
    <w:rsid w:val="00F70B18"/>
    <w:rPr>
      <w:rFonts w:ascii="Arial" w:eastAsia="Times New Roman" w:hAnsi="Arial" w:cs="Arial"/>
      <w:sz w:val="24"/>
      <w:szCs w:val="24"/>
    </w:rPr>
  </w:style>
  <w:style w:type="character" w:styleId="PageNumber">
    <w:name w:val="page number"/>
    <w:rsid w:val="00F70B18"/>
    <w:rPr>
      <w:rFonts w:ascii="Times New Roman" w:hAnsi="Times New Roman"/>
      <w:color w:val="auto"/>
      <w:spacing w:val="0"/>
      <w:sz w:val="24"/>
    </w:rPr>
  </w:style>
  <w:style w:type="paragraph" w:styleId="TOC4">
    <w:name w:val="toc 4"/>
    <w:basedOn w:val="Normal"/>
    <w:semiHidden/>
    <w:rsid w:val="00F70B18"/>
    <w:pPr>
      <w:tabs>
        <w:tab w:val="left" w:pos="2880"/>
        <w:tab w:val="right" w:leader="dot" w:pos="9360"/>
      </w:tabs>
      <w:overflowPunct w:val="0"/>
      <w:autoSpaceDE w:val="0"/>
      <w:autoSpaceDN w:val="0"/>
      <w:adjustRightInd w:val="0"/>
      <w:spacing w:after="0" w:line="240" w:lineRule="auto"/>
      <w:ind w:left="2880" w:right="720" w:hanging="720"/>
      <w:textAlignment w:val="baseline"/>
    </w:pPr>
    <w:rPr>
      <w:rFonts w:ascii="Arial" w:eastAsia="Times New Roman" w:hAnsi="Arial" w:cs="Times New Roman"/>
      <w:sz w:val="20"/>
      <w:szCs w:val="20"/>
      <w:lang w:val="en-US"/>
    </w:rPr>
  </w:style>
  <w:style w:type="paragraph" w:customStyle="1" w:styleId="TableParagraph">
    <w:name w:val="Table Paragraph"/>
    <w:basedOn w:val="Normal"/>
    <w:uiPriority w:val="1"/>
    <w:qFormat/>
    <w:rsid w:val="00F70B18"/>
    <w:pPr>
      <w:widowControl w:val="0"/>
      <w:spacing w:after="0" w:line="240" w:lineRule="auto"/>
    </w:pPr>
    <w:rPr>
      <w:lang w:val="en-US"/>
    </w:rPr>
  </w:style>
  <w:style w:type="character" w:styleId="FollowedHyperlink">
    <w:name w:val="FollowedHyperlink"/>
    <w:basedOn w:val="DefaultParagraphFont"/>
    <w:uiPriority w:val="99"/>
    <w:semiHidden/>
    <w:unhideWhenUsed/>
    <w:rsid w:val="008C7E74"/>
    <w:rPr>
      <w:color w:val="800080" w:themeColor="followedHyperlink"/>
      <w:u w:val="single"/>
    </w:rPr>
  </w:style>
  <w:style w:type="character" w:customStyle="1" w:styleId="Heading4Char">
    <w:name w:val="Heading 4 Char"/>
    <w:basedOn w:val="DefaultParagraphFont"/>
    <w:link w:val="Heading4"/>
    <w:uiPriority w:val="9"/>
    <w:semiHidden/>
    <w:rsid w:val="008973B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973B9"/>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E31EA2"/>
    <w:rPr>
      <w:color w:val="808080"/>
      <w:shd w:val="clear" w:color="auto" w:fill="E6E6E6"/>
    </w:rPr>
  </w:style>
  <w:style w:type="character" w:styleId="CommentReference">
    <w:name w:val="annotation reference"/>
    <w:basedOn w:val="DefaultParagraphFont"/>
    <w:uiPriority w:val="99"/>
    <w:semiHidden/>
    <w:unhideWhenUsed/>
    <w:rsid w:val="00720FD4"/>
    <w:rPr>
      <w:sz w:val="16"/>
      <w:szCs w:val="16"/>
    </w:rPr>
  </w:style>
  <w:style w:type="paragraph" w:styleId="CommentText">
    <w:name w:val="annotation text"/>
    <w:basedOn w:val="Normal"/>
    <w:link w:val="CommentTextChar"/>
    <w:uiPriority w:val="99"/>
    <w:semiHidden/>
    <w:unhideWhenUsed/>
    <w:rsid w:val="00720FD4"/>
    <w:pPr>
      <w:spacing w:line="240" w:lineRule="auto"/>
    </w:pPr>
    <w:rPr>
      <w:sz w:val="20"/>
      <w:szCs w:val="20"/>
    </w:rPr>
  </w:style>
  <w:style w:type="character" w:customStyle="1" w:styleId="CommentTextChar">
    <w:name w:val="Comment Text Char"/>
    <w:basedOn w:val="DefaultParagraphFont"/>
    <w:link w:val="CommentText"/>
    <w:uiPriority w:val="99"/>
    <w:semiHidden/>
    <w:rsid w:val="00720FD4"/>
    <w:rPr>
      <w:sz w:val="20"/>
      <w:szCs w:val="20"/>
    </w:rPr>
  </w:style>
  <w:style w:type="paragraph" w:styleId="CommentSubject">
    <w:name w:val="annotation subject"/>
    <w:basedOn w:val="CommentText"/>
    <w:next w:val="CommentText"/>
    <w:link w:val="CommentSubjectChar"/>
    <w:uiPriority w:val="99"/>
    <w:semiHidden/>
    <w:unhideWhenUsed/>
    <w:rsid w:val="00720FD4"/>
    <w:rPr>
      <w:b/>
      <w:bCs/>
    </w:rPr>
  </w:style>
  <w:style w:type="character" w:customStyle="1" w:styleId="CommentSubjectChar">
    <w:name w:val="Comment Subject Char"/>
    <w:basedOn w:val="CommentTextChar"/>
    <w:link w:val="CommentSubject"/>
    <w:uiPriority w:val="99"/>
    <w:semiHidden/>
    <w:rsid w:val="00720FD4"/>
    <w:rPr>
      <w:b/>
      <w:bCs/>
      <w:sz w:val="20"/>
      <w:szCs w:val="20"/>
    </w:rPr>
  </w:style>
  <w:style w:type="paragraph" w:styleId="Revision">
    <w:name w:val="Revision"/>
    <w:hidden/>
    <w:uiPriority w:val="99"/>
    <w:semiHidden/>
    <w:rsid w:val="00720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9269">
      <w:bodyDiv w:val="1"/>
      <w:marLeft w:val="0"/>
      <w:marRight w:val="0"/>
      <w:marTop w:val="0"/>
      <w:marBottom w:val="0"/>
      <w:divBdr>
        <w:top w:val="none" w:sz="0" w:space="0" w:color="auto"/>
        <w:left w:val="none" w:sz="0" w:space="0" w:color="auto"/>
        <w:bottom w:val="none" w:sz="0" w:space="0" w:color="auto"/>
        <w:right w:val="none" w:sz="0" w:space="0" w:color="auto"/>
      </w:divBdr>
    </w:div>
    <w:div w:id="102043300">
      <w:bodyDiv w:val="1"/>
      <w:marLeft w:val="0"/>
      <w:marRight w:val="0"/>
      <w:marTop w:val="0"/>
      <w:marBottom w:val="0"/>
      <w:divBdr>
        <w:top w:val="none" w:sz="0" w:space="0" w:color="auto"/>
        <w:left w:val="none" w:sz="0" w:space="0" w:color="auto"/>
        <w:bottom w:val="none" w:sz="0" w:space="0" w:color="auto"/>
        <w:right w:val="none" w:sz="0" w:space="0" w:color="auto"/>
      </w:divBdr>
    </w:div>
    <w:div w:id="120803736">
      <w:bodyDiv w:val="1"/>
      <w:marLeft w:val="0"/>
      <w:marRight w:val="0"/>
      <w:marTop w:val="0"/>
      <w:marBottom w:val="0"/>
      <w:divBdr>
        <w:top w:val="none" w:sz="0" w:space="0" w:color="auto"/>
        <w:left w:val="none" w:sz="0" w:space="0" w:color="auto"/>
        <w:bottom w:val="none" w:sz="0" w:space="0" w:color="auto"/>
        <w:right w:val="none" w:sz="0" w:space="0" w:color="auto"/>
      </w:divBdr>
      <w:divsChild>
        <w:div w:id="46271048">
          <w:marLeft w:val="0"/>
          <w:marRight w:val="0"/>
          <w:marTop w:val="0"/>
          <w:marBottom w:val="0"/>
          <w:divBdr>
            <w:top w:val="none" w:sz="0" w:space="0" w:color="auto"/>
            <w:left w:val="none" w:sz="0" w:space="0" w:color="auto"/>
            <w:bottom w:val="none" w:sz="0" w:space="0" w:color="auto"/>
            <w:right w:val="none" w:sz="0" w:space="0" w:color="auto"/>
          </w:divBdr>
          <w:divsChild>
            <w:div w:id="1745296900">
              <w:marLeft w:val="0"/>
              <w:marRight w:val="0"/>
              <w:marTop w:val="0"/>
              <w:marBottom w:val="0"/>
              <w:divBdr>
                <w:top w:val="none" w:sz="0" w:space="0" w:color="auto"/>
                <w:left w:val="none" w:sz="0" w:space="0" w:color="auto"/>
                <w:bottom w:val="none" w:sz="0" w:space="0" w:color="auto"/>
                <w:right w:val="none" w:sz="0" w:space="0" w:color="auto"/>
              </w:divBdr>
              <w:divsChild>
                <w:div w:id="2118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8916">
      <w:bodyDiv w:val="1"/>
      <w:marLeft w:val="0"/>
      <w:marRight w:val="0"/>
      <w:marTop w:val="0"/>
      <w:marBottom w:val="0"/>
      <w:divBdr>
        <w:top w:val="none" w:sz="0" w:space="0" w:color="auto"/>
        <w:left w:val="none" w:sz="0" w:space="0" w:color="auto"/>
        <w:bottom w:val="none" w:sz="0" w:space="0" w:color="auto"/>
        <w:right w:val="none" w:sz="0" w:space="0" w:color="auto"/>
      </w:divBdr>
      <w:divsChild>
        <w:div w:id="1237744134">
          <w:marLeft w:val="0"/>
          <w:marRight w:val="0"/>
          <w:marTop w:val="0"/>
          <w:marBottom w:val="0"/>
          <w:divBdr>
            <w:top w:val="none" w:sz="0" w:space="0" w:color="auto"/>
            <w:left w:val="none" w:sz="0" w:space="0" w:color="auto"/>
            <w:bottom w:val="none" w:sz="0" w:space="0" w:color="auto"/>
            <w:right w:val="none" w:sz="0" w:space="0" w:color="auto"/>
          </w:divBdr>
        </w:div>
        <w:div w:id="1584024562">
          <w:marLeft w:val="0"/>
          <w:marRight w:val="0"/>
          <w:marTop w:val="0"/>
          <w:marBottom w:val="0"/>
          <w:divBdr>
            <w:top w:val="none" w:sz="0" w:space="0" w:color="auto"/>
            <w:left w:val="none" w:sz="0" w:space="0" w:color="auto"/>
            <w:bottom w:val="none" w:sz="0" w:space="0" w:color="auto"/>
            <w:right w:val="none" w:sz="0" w:space="0" w:color="auto"/>
          </w:divBdr>
        </w:div>
        <w:div w:id="596862148">
          <w:marLeft w:val="0"/>
          <w:marRight w:val="0"/>
          <w:marTop w:val="0"/>
          <w:marBottom w:val="0"/>
          <w:divBdr>
            <w:top w:val="none" w:sz="0" w:space="0" w:color="auto"/>
            <w:left w:val="none" w:sz="0" w:space="0" w:color="auto"/>
            <w:bottom w:val="none" w:sz="0" w:space="0" w:color="auto"/>
            <w:right w:val="none" w:sz="0" w:space="0" w:color="auto"/>
          </w:divBdr>
        </w:div>
        <w:div w:id="1441299265">
          <w:marLeft w:val="0"/>
          <w:marRight w:val="0"/>
          <w:marTop w:val="0"/>
          <w:marBottom w:val="0"/>
          <w:divBdr>
            <w:top w:val="none" w:sz="0" w:space="0" w:color="auto"/>
            <w:left w:val="none" w:sz="0" w:space="0" w:color="auto"/>
            <w:bottom w:val="none" w:sz="0" w:space="0" w:color="auto"/>
            <w:right w:val="none" w:sz="0" w:space="0" w:color="auto"/>
          </w:divBdr>
        </w:div>
      </w:divsChild>
    </w:div>
    <w:div w:id="212082222">
      <w:bodyDiv w:val="1"/>
      <w:marLeft w:val="0"/>
      <w:marRight w:val="0"/>
      <w:marTop w:val="0"/>
      <w:marBottom w:val="0"/>
      <w:divBdr>
        <w:top w:val="none" w:sz="0" w:space="0" w:color="auto"/>
        <w:left w:val="none" w:sz="0" w:space="0" w:color="auto"/>
        <w:bottom w:val="none" w:sz="0" w:space="0" w:color="auto"/>
        <w:right w:val="none" w:sz="0" w:space="0" w:color="auto"/>
      </w:divBdr>
      <w:divsChild>
        <w:div w:id="1613240062">
          <w:marLeft w:val="0"/>
          <w:marRight w:val="0"/>
          <w:marTop w:val="0"/>
          <w:marBottom w:val="0"/>
          <w:divBdr>
            <w:top w:val="none" w:sz="0" w:space="0" w:color="auto"/>
            <w:left w:val="none" w:sz="0" w:space="0" w:color="auto"/>
            <w:bottom w:val="none" w:sz="0" w:space="0" w:color="auto"/>
            <w:right w:val="none" w:sz="0" w:space="0" w:color="auto"/>
          </w:divBdr>
          <w:divsChild>
            <w:div w:id="1197741190">
              <w:marLeft w:val="0"/>
              <w:marRight w:val="0"/>
              <w:marTop w:val="0"/>
              <w:marBottom w:val="0"/>
              <w:divBdr>
                <w:top w:val="none" w:sz="0" w:space="0" w:color="auto"/>
                <w:left w:val="none" w:sz="0" w:space="0" w:color="auto"/>
                <w:bottom w:val="none" w:sz="0" w:space="0" w:color="auto"/>
                <w:right w:val="none" w:sz="0" w:space="0" w:color="auto"/>
              </w:divBdr>
              <w:divsChild>
                <w:div w:id="17820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172248">
      <w:bodyDiv w:val="1"/>
      <w:marLeft w:val="0"/>
      <w:marRight w:val="0"/>
      <w:marTop w:val="0"/>
      <w:marBottom w:val="0"/>
      <w:divBdr>
        <w:top w:val="none" w:sz="0" w:space="0" w:color="auto"/>
        <w:left w:val="none" w:sz="0" w:space="0" w:color="auto"/>
        <w:bottom w:val="none" w:sz="0" w:space="0" w:color="auto"/>
        <w:right w:val="none" w:sz="0" w:space="0" w:color="auto"/>
      </w:divBdr>
      <w:divsChild>
        <w:div w:id="1224637365">
          <w:marLeft w:val="0"/>
          <w:marRight w:val="0"/>
          <w:marTop w:val="0"/>
          <w:marBottom w:val="0"/>
          <w:divBdr>
            <w:top w:val="none" w:sz="0" w:space="0" w:color="auto"/>
            <w:left w:val="none" w:sz="0" w:space="0" w:color="auto"/>
            <w:bottom w:val="none" w:sz="0" w:space="0" w:color="auto"/>
            <w:right w:val="none" w:sz="0" w:space="0" w:color="auto"/>
          </w:divBdr>
          <w:divsChild>
            <w:div w:id="1157845877">
              <w:marLeft w:val="0"/>
              <w:marRight w:val="0"/>
              <w:marTop w:val="0"/>
              <w:marBottom w:val="0"/>
              <w:divBdr>
                <w:top w:val="none" w:sz="0" w:space="0" w:color="auto"/>
                <w:left w:val="none" w:sz="0" w:space="0" w:color="auto"/>
                <w:bottom w:val="none" w:sz="0" w:space="0" w:color="auto"/>
                <w:right w:val="none" w:sz="0" w:space="0" w:color="auto"/>
              </w:divBdr>
              <w:divsChild>
                <w:div w:id="555240952">
                  <w:marLeft w:val="0"/>
                  <w:marRight w:val="0"/>
                  <w:marTop w:val="0"/>
                  <w:marBottom w:val="0"/>
                  <w:divBdr>
                    <w:top w:val="none" w:sz="0" w:space="0" w:color="auto"/>
                    <w:left w:val="none" w:sz="0" w:space="0" w:color="auto"/>
                    <w:bottom w:val="none" w:sz="0" w:space="0" w:color="auto"/>
                    <w:right w:val="none" w:sz="0" w:space="0" w:color="auto"/>
                  </w:divBdr>
                  <w:divsChild>
                    <w:div w:id="3642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166425">
      <w:bodyDiv w:val="1"/>
      <w:marLeft w:val="0"/>
      <w:marRight w:val="0"/>
      <w:marTop w:val="0"/>
      <w:marBottom w:val="0"/>
      <w:divBdr>
        <w:top w:val="none" w:sz="0" w:space="0" w:color="auto"/>
        <w:left w:val="none" w:sz="0" w:space="0" w:color="auto"/>
        <w:bottom w:val="none" w:sz="0" w:space="0" w:color="auto"/>
        <w:right w:val="none" w:sz="0" w:space="0" w:color="auto"/>
      </w:divBdr>
    </w:div>
    <w:div w:id="431359178">
      <w:bodyDiv w:val="1"/>
      <w:marLeft w:val="0"/>
      <w:marRight w:val="0"/>
      <w:marTop w:val="0"/>
      <w:marBottom w:val="0"/>
      <w:divBdr>
        <w:top w:val="none" w:sz="0" w:space="0" w:color="auto"/>
        <w:left w:val="none" w:sz="0" w:space="0" w:color="auto"/>
        <w:bottom w:val="none" w:sz="0" w:space="0" w:color="auto"/>
        <w:right w:val="none" w:sz="0" w:space="0" w:color="auto"/>
      </w:divBdr>
      <w:divsChild>
        <w:div w:id="1841122623">
          <w:marLeft w:val="0"/>
          <w:marRight w:val="0"/>
          <w:marTop w:val="0"/>
          <w:marBottom w:val="0"/>
          <w:divBdr>
            <w:top w:val="none" w:sz="0" w:space="0" w:color="auto"/>
            <w:left w:val="none" w:sz="0" w:space="0" w:color="auto"/>
            <w:bottom w:val="none" w:sz="0" w:space="0" w:color="auto"/>
            <w:right w:val="none" w:sz="0" w:space="0" w:color="auto"/>
          </w:divBdr>
          <w:divsChild>
            <w:div w:id="1593733157">
              <w:marLeft w:val="0"/>
              <w:marRight w:val="0"/>
              <w:marTop w:val="0"/>
              <w:marBottom w:val="0"/>
              <w:divBdr>
                <w:top w:val="none" w:sz="0" w:space="0" w:color="auto"/>
                <w:left w:val="none" w:sz="0" w:space="0" w:color="auto"/>
                <w:bottom w:val="none" w:sz="0" w:space="0" w:color="auto"/>
                <w:right w:val="none" w:sz="0" w:space="0" w:color="auto"/>
              </w:divBdr>
              <w:divsChild>
                <w:div w:id="1335838474">
                  <w:marLeft w:val="0"/>
                  <w:marRight w:val="0"/>
                  <w:marTop w:val="0"/>
                  <w:marBottom w:val="0"/>
                  <w:divBdr>
                    <w:top w:val="none" w:sz="0" w:space="0" w:color="auto"/>
                    <w:left w:val="none" w:sz="0" w:space="0" w:color="auto"/>
                    <w:bottom w:val="none" w:sz="0" w:space="0" w:color="auto"/>
                    <w:right w:val="none" w:sz="0" w:space="0" w:color="auto"/>
                  </w:divBdr>
                  <w:divsChild>
                    <w:div w:id="13676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9034">
      <w:bodyDiv w:val="1"/>
      <w:marLeft w:val="0"/>
      <w:marRight w:val="0"/>
      <w:marTop w:val="0"/>
      <w:marBottom w:val="0"/>
      <w:divBdr>
        <w:top w:val="none" w:sz="0" w:space="0" w:color="auto"/>
        <w:left w:val="none" w:sz="0" w:space="0" w:color="auto"/>
        <w:bottom w:val="none" w:sz="0" w:space="0" w:color="auto"/>
        <w:right w:val="none" w:sz="0" w:space="0" w:color="auto"/>
      </w:divBdr>
      <w:divsChild>
        <w:div w:id="1689066005">
          <w:marLeft w:val="720"/>
          <w:marRight w:val="0"/>
          <w:marTop w:val="140"/>
          <w:marBottom w:val="0"/>
          <w:divBdr>
            <w:top w:val="none" w:sz="0" w:space="0" w:color="auto"/>
            <w:left w:val="none" w:sz="0" w:space="0" w:color="auto"/>
            <w:bottom w:val="none" w:sz="0" w:space="0" w:color="auto"/>
            <w:right w:val="none" w:sz="0" w:space="0" w:color="auto"/>
          </w:divBdr>
        </w:div>
      </w:divsChild>
    </w:div>
    <w:div w:id="492835573">
      <w:bodyDiv w:val="1"/>
      <w:marLeft w:val="0"/>
      <w:marRight w:val="0"/>
      <w:marTop w:val="0"/>
      <w:marBottom w:val="0"/>
      <w:divBdr>
        <w:top w:val="none" w:sz="0" w:space="0" w:color="auto"/>
        <w:left w:val="none" w:sz="0" w:space="0" w:color="auto"/>
        <w:bottom w:val="none" w:sz="0" w:space="0" w:color="auto"/>
        <w:right w:val="none" w:sz="0" w:space="0" w:color="auto"/>
      </w:divBdr>
      <w:divsChild>
        <w:div w:id="96486208">
          <w:marLeft w:val="0"/>
          <w:marRight w:val="0"/>
          <w:marTop w:val="0"/>
          <w:marBottom w:val="0"/>
          <w:divBdr>
            <w:top w:val="none" w:sz="0" w:space="0" w:color="auto"/>
            <w:left w:val="none" w:sz="0" w:space="0" w:color="auto"/>
            <w:bottom w:val="none" w:sz="0" w:space="0" w:color="auto"/>
            <w:right w:val="none" w:sz="0" w:space="0" w:color="auto"/>
          </w:divBdr>
          <w:divsChild>
            <w:div w:id="2082411078">
              <w:marLeft w:val="0"/>
              <w:marRight w:val="0"/>
              <w:marTop w:val="0"/>
              <w:marBottom w:val="0"/>
              <w:divBdr>
                <w:top w:val="none" w:sz="0" w:space="0" w:color="auto"/>
                <w:left w:val="none" w:sz="0" w:space="0" w:color="auto"/>
                <w:bottom w:val="none" w:sz="0" w:space="0" w:color="auto"/>
                <w:right w:val="none" w:sz="0" w:space="0" w:color="auto"/>
              </w:divBdr>
            </w:div>
          </w:divsChild>
        </w:div>
        <w:div w:id="2083407994">
          <w:marLeft w:val="0"/>
          <w:marRight w:val="0"/>
          <w:marTop w:val="0"/>
          <w:marBottom w:val="0"/>
          <w:divBdr>
            <w:top w:val="none" w:sz="0" w:space="0" w:color="auto"/>
            <w:left w:val="none" w:sz="0" w:space="0" w:color="auto"/>
            <w:bottom w:val="none" w:sz="0" w:space="0" w:color="auto"/>
            <w:right w:val="none" w:sz="0" w:space="0" w:color="auto"/>
          </w:divBdr>
          <w:divsChild>
            <w:div w:id="9858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3715">
      <w:bodyDiv w:val="1"/>
      <w:marLeft w:val="0"/>
      <w:marRight w:val="0"/>
      <w:marTop w:val="0"/>
      <w:marBottom w:val="0"/>
      <w:divBdr>
        <w:top w:val="none" w:sz="0" w:space="0" w:color="auto"/>
        <w:left w:val="none" w:sz="0" w:space="0" w:color="auto"/>
        <w:bottom w:val="none" w:sz="0" w:space="0" w:color="auto"/>
        <w:right w:val="none" w:sz="0" w:space="0" w:color="auto"/>
      </w:divBdr>
    </w:div>
    <w:div w:id="650865480">
      <w:bodyDiv w:val="1"/>
      <w:marLeft w:val="0"/>
      <w:marRight w:val="0"/>
      <w:marTop w:val="0"/>
      <w:marBottom w:val="0"/>
      <w:divBdr>
        <w:top w:val="none" w:sz="0" w:space="0" w:color="auto"/>
        <w:left w:val="none" w:sz="0" w:space="0" w:color="auto"/>
        <w:bottom w:val="none" w:sz="0" w:space="0" w:color="auto"/>
        <w:right w:val="none" w:sz="0" w:space="0" w:color="auto"/>
      </w:divBdr>
    </w:div>
    <w:div w:id="690180920">
      <w:bodyDiv w:val="1"/>
      <w:marLeft w:val="0"/>
      <w:marRight w:val="0"/>
      <w:marTop w:val="0"/>
      <w:marBottom w:val="0"/>
      <w:divBdr>
        <w:top w:val="none" w:sz="0" w:space="0" w:color="auto"/>
        <w:left w:val="none" w:sz="0" w:space="0" w:color="auto"/>
        <w:bottom w:val="none" w:sz="0" w:space="0" w:color="auto"/>
        <w:right w:val="none" w:sz="0" w:space="0" w:color="auto"/>
      </w:divBdr>
    </w:div>
    <w:div w:id="818695247">
      <w:bodyDiv w:val="1"/>
      <w:marLeft w:val="0"/>
      <w:marRight w:val="0"/>
      <w:marTop w:val="0"/>
      <w:marBottom w:val="0"/>
      <w:divBdr>
        <w:top w:val="none" w:sz="0" w:space="0" w:color="auto"/>
        <w:left w:val="none" w:sz="0" w:space="0" w:color="auto"/>
        <w:bottom w:val="none" w:sz="0" w:space="0" w:color="auto"/>
        <w:right w:val="none" w:sz="0" w:space="0" w:color="auto"/>
      </w:divBdr>
    </w:div>
    <w:div w:id="923148067">
      <w:bodyDiv w:val="1"/>
      <w:marLeft w:val="0"/>
      <w:marRight w:val="0"/>
      <w:marTop w:val="0"/>
      <w:marBottom w:val="0"/>
      <w:divBdr>
        <w:top w:val="none" w:sz="0" w:space="0" w:color="auto"/>
        <w:left w:val="none" w:sz="0" w:space="0" w:color="auto"/>
        <w:bottom w:val="none" w:sz="0" w:space="0" w:color="auto"/>
        <w:right w:val="none" w:sz="0" w:space="0" w:color="auto"/>
      </w:divBdr>
      <w:divsChild>
        <w:div w:id="670909459">
          <w:marLeft w:val="0"/>
          <w:marRight w:val="0"/>
          <w:marTop w:val="0"/>
          <w:marBottom w:val="0"/>
          <w:divBdr>
            <w:top w:val="none" w:sz="0" w:space="0" w:color="auto"/>
            <w:left w:val="none" w:sz="0" w:space="0" w:color="auto"/>
            <w:bottom w:val="none" w:sz="0" w:space="0" w:color="auto"/>
            <w:right w:val="none" w:sz="0" w:space="0" w:color="auto"/>
          </w:divBdr>
          <w:divsChild>
            <w:div w:id="861819017">
              <w:marLeft w:val="0"/>
              <w:marRight w:val="0"/>
              <w:marTop w:val="0"/>
              <w:marBottom w:val="0"/>
              <w:divBdr>
                <w:top w:val="none" w:sz="0" w:space="0" w:color="auto"/>
                <w:left w:val="none" w:sz="0" w:space="0" w:color="auto"/>
                <w:bottom w:val="none" w:sz="0" w:space="0" w:color="auto"/>
                <w:right w:val="none" w:sz="0" w:space="0" w:color="auto"/>
              </w:divBdr>
            </w:div>
          </w:divsChild>
        </w:div>
        <w:div w:id="823014331">
          <w:marLeft w:val="0"/>
          <w:marRight w:val="0"/>
          <w:marTop w:val="0"/>
          <w:marBottom w:val="0"/>
          <w:divBdr>
            <w:top w:val="none" w:sz="0" w:space="0" w:color="auto"/>
            <w:left w:val="none" w:sz="0" w:space="0" w:color="auto"/>
            <w:bottom w:val="none" w:sz="0" w:space="0" w:color="auto"/>
            <w:right w:val="none" w:sz="0" w:space="0" w:color="auto"/>
          </w:divBdr>
          <w:divsChild>
            <w:div w:id="12934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3473">
      <w:bodyDiv w:val="1"/>
      <w:marLeft w:val="0"/>
      <w:marRight w:val="0"/>
      <w:marTop w:val="0"/>
      <w:marBottom w:val="0"/>
      <w:divBdr>
        <w:top w:val="none" w:sz="0" w:space="0" w:color="auto"/>
        <w:left w:val="none" w:sz="0" w:space="0" w:color="auto"/>
        <w:bottom w:val="none" w:sz="0" w:space="0" w:color="auto"/>
        <w:right w:val="none" w:sz="0" w:space="0" w:color="auto"/>
      </w:divBdr>
      <w:divsChild>
        <w:div w:id="408624839">
          <w:marLeft w:val="0"/>
          <w:marRight w:val="0"/>
          <w:marTop w:val="0"/>
          <w:marBottom w:val="0"/>
          <w:divBdr>
            <w:top w:val="none" w:sz="0" w:space="0" w:color="auto"/>
            <w:left w:val="none" w:sz="0" w:space="0" w:color="auto"/>
            <w:bottom w:val="none" w:sz="0" w:space="0" w:color="auto"/>
            <w:right w:val="none" w:sz="0" w:space="0" w:color="auto"/>
          </w:divBdr>
          <w:divsChild>
            <w:div w:id="1616643790">
              <w:marLeft w:val="0"/>
              <w:marRight w:val="0"/>
              <w:marTop w:val="0"/>
              <w:marBottom w:val="0"/>
              <w:divBdr>
                <w:top w:val="none" w:sz="0" w:space="0" w:color="auto"/>
                <w:left w:val="none" w:sz="0" w:space="0" w:color="auto"/>
                <w:bottom w:val="none" w:sz="0" w:space="0" w:color="auto"/>
                <w:right w:val="none" w:sz="0" w:space="0" w:color="auto"/>
              </w:divBdr>
              <w:divsChild>
                <w:div w:id="947932732">
                  <w:marLeft w:val="0"/>
                  <w:marRight w:val="0"/>
                  <w:marTop w:val="0"/>
                  <w:marBottom w:val="0"/>
                  <w:divBdr>
                    <w:top w:val="none" w:sz="0" w:space="0" w:color="auto"/>
                    <w:left w:val="none" w:sz="0" w:space="0" w:color="auto"/>
                    <w:bottom w:val="none" w:sz="0" w:space="0" w:color="auto"/>
                    <w:right w:val="none" w:sz="0" w:space="0" w:color="auto"/>
                  </w:divBdr>
                  <w:divsChild>
                    <w:div w:id="155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653426">
      <w:bodyDiv w:val="1"/>
      <w:marLeft w:val="0"/>
      <w:marRight w:val="0"/>
      <w:marTop w:val="0"/>
      <w:marBottom w:val="0"/>
      <w:divBdr>
        <w:top w:val="none" w:sz="0" w:space="0" w:color="auto"/>
        <w:left w:val="none" w:sz="0" w:space="0" w:color="auto"/>
        <w:bottom w:val="none" w:sz="0" w:space="0" w:color="auto"/>
        <w:right w:val="none" w:sz="0" w:space="0" w:color="auto"/>
      </w:divBdr>
      <w:divsChild>
        <w:div w:id="387848979">
          <w:marLeft w:val="0"/>
          <w:marRight w:val="0"/>
          <w:marTop w:val="0"/>
          <w:marBottom w:val="0"/>
          <w:divBdr>
            <w:top w:val="none" w:sz="0" w:space="0" w:color="auto"/>
            <w:left w:val="none" w:sz="0" w:space="0" w:color="auto"/>
            <w:bottom w:val="none" w:sz="0" w:space="0" w:color="auto"/>
            <w:right w:val="none" w:sz="0" w:space="0" w:color="auto"/>
          </w:divBdr>
          <w:divsChild>
            <w:div w:id="1628899082">
              <w:marLeft w:val="0"/>
              <w:marRight w:val="0"/>
              <w:marTop w:val="0"/>
              <w:marBottom w:val="0"/>
              <w:divBdr>
                <w:top w:val="none" w:sz="0" w:space="0" w:color="auto"/>
                <w:left w:val="none" w:sz="0" w:space="0" w:color="auto"/>
                <w:bottom w:val="none" w:sz="0" w:space="0" w:color="auto"/>
                <w:right w:val="none" w:sz="0" w:space="0" w:color="auto"/>
              </w:divBdr>
              <w:divsChild>
                <w:div w:id="3197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1249">
      <w:bodyDiv w:val="1"/>
      <w:marLeft w:val="0"/>
      <w:marRight w:val="0"/>
      <w:marTop w:val="0"/>
      <w:marBottom w:val="0"/>
      <w:divBdr>
        <w:top w:val="none" w:sz="0" w:space="0" w:color="auto"/>
        <w:left w:val="none" w:sz="0" w:space="0" w:color="auto"/>
        <w:bottom w:val="none" w:sz="0" w:space="0" w:color="auto"/>
        <w:right w:val="none" w:sz="0" w:space="0" w:color="auto"/>
      </w:divBdr>
    </w:div>
    <w:div w:id="1137842387">
      <w:bodyDiv w:val="1"/>
      <w:marLeft w:val="0"/>
      <w:marRight w:val="0"/>
      <w:marTop w:val="0"/>
      <w:marBottom w:val="0"/>
      <w:divBdr>
        <w:top w:val="none" w:sz="0" w:space="0" w:color="auto"/>
        <w:left w:val="none" w:sz="0" w:space="0" w:color="auto"/>
        <w:bottom w:val="none" w:sz="0" w:space="0" w:color="auto"/>
        <w:right w:val="none" w:sz="0" w:space="0" w:color="auto"/>
      </w:divBdr>
    </w:div>
    <w:div w:id="1162938794">
      <w:bodyDiv w:val="1"/>
      <w:marLeft w:val="0"/>
      <w:marRight w:val="0"/>
      <w:marTop w:val="0"/>
      <w:marBottom w:val="0"/>
      <w:divBdr>
        <w:top w:val="none" w:sz="0" w:space="0" w:color="auto"/>
        <w:left w:val="none" w:sz="0" w:space="0" w:color="auto"/>
        <w:bottom w:val="none" w:sz="0" w:space="0" w:color="auto"/>
        <w:right w:val="none" w:sz="0" w:space="0" w:color="auto"/>
      </w:divBdr>
      <w:divsChild>
        <w:div w:id="1619097216">
          <w:marLeft w:val="0"/>
          <w:marRight w:val="0"/>
          <w:marTop w:val="0"/>
          <w:marBottom w:val="0"/>
          <w:divBdr>
            <w:top w:val="none" w:sz="0" w:space="0" w:color="auto"/>
            <w:left w:val="none" w:sz="0" w:space="0" w:color="auto"/>
            <w:bottom w:val="none" w:sz="0" w:space="0" w:color="auto"/>
            <w:right w:val="none" w:sz="0" w:space="0" w:color="auto"/>
          </w:divBdr>
          <w:divsChild>
            <w:div w:id="824977810">
              <w:marLeft w:val="0"/>
              <w:marRight w:val="0"/>
              <w:marTop w:val="0"/>
              <w:marBottom w:val="0"/>
              <w:divBdr>
                <w:top w:val="none" w:sz="0" w:space="0" w:color="auto"/>
                <w:left w:val="none" w:sz="0" w:space="0" w:color="auto"/>
                <w:bottom w:val="none" w:sz="0" w:space="0" w:color="auto"/>
                <w:right w:val="none" w:sz="0" w:space="0" w:color="auto"/>
              </w:divBdr>
              <w:divsChild>
                <w:div w:id="480775934">
                  <w:marLeft w:val="0"/>
                  <w:marRight w:val="0"/>
                  <w:marTop w:val="0"/>
                  <w:marBottom w:val="0"/>
                  <w:divBdr>
                    <w:top w:val="none" w:sz="0" w:space="0" w:color="auto"/>
                    <w:left w:val="none" w:sz="0" w:space="0" w:color="auto"/>
                    <w:bottom w:val="none" w:sz="0" w:space="0" w:color="auto"/>
                    <w:right w:val="none" w:sz="0" w:space="0" w:color="auto"/>
                  </w:divBdr>
                  <w:divsChild>
                    <w:div w:id="74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37610">
      <w:bodyDiv w:val="1"/>
      <w:marLeft w:val="0"/>
      <w:marRight w:val="0"/>
      <w:marTop w:val="0"/>
      <w:marBottom w:val="0"/>
      <w:divBdr>
        <w:top w:val="none" w:sz="0" w:space="0" w:color="auto"/>
        <w:left w:val="none" w:sz="0" w:space="0" w:color="auto"/>
        <w:bottom w:val="none" w:sz="0" w:space="0" w:color="auto"/>
        <w:right w:val="none" w:sz="0" w:space="0" w:color="auto"/>
      </w:divBdr>
      <w:divsChild>
        <w:div w:id="329873967">
          <w:marLeft w:val="0"/>
          <w:marRight w:val="0"/>
          <w:marTop w:val="0"/>
          <w:marBottom w:val="0"/>
          <w:divBdr>
            <w:top w:val="none" w:sz="0" w:space="0" w:color="auto"/>
            <w:left w:val="none" w:sz="0" w:space="0" w:color="auto"/>
            <w:bottom w:val="none" w:sz="0" w:space="0" w:color="auto"/>
            <w:right w:val="none" w:sz="0" w:space="0" w:color="auto"/>
          </w:divBdr>
        </w:div>
        <w:div w:id="276528253">
          <w:marLeft w:val="0"/>
          <w:marRight w:val="0"/>
          <w:marTop w:val="0"/>
          <w:marBottom w:val="0"/>
          <w:divBdr>
            <w:top w:val="none" w:sz="0" w:space="0" w:color="auto"/>
            <w:left w:val="none" w:sz="0" w:space="0" w:color="auto"/>
            <w:bottom w:val="none" w:sz="0" w:space="0" w:color="auto"/>
            <w:right w:val="none" w:sz="0" w:space="0" w:color="auto"/>
          </w:divBdr>
        </w:div>
        <w:div w:id="127824034">
          <w:marLeft w:val="0"/>
          <w:marRight w:val="0"/>
          <w:marTop w:val="0"/>
          <w:marBottom w:val="0"/>
          <w:divBdr>
            <w:top w:val="none" w:sz="0" w:space="0" w:color="auto"/>
            <w:left w:val="none" w:sz="0" w:space="0" w:color="auto"/>
            <w:bottom w:val="none" w:sz="0" w:space="0" w:color="auto"/>
            <w:right w:val="none" w:sz="0" w:space="0" w:color="auto"/>
          </w:divBdr>
        </w:div>
        <w:div w:id="466360624">
          <w:marLeft w:val="0"/>
          <w:marRight w:val="0"/>
          <w:marTop w:val="0"/>
          <w:marBottom w:val="0"/>
          <w:divBdr>
            <w:top w:val="none" w:sz="0" w:space="0" w:color="auto"/>
            <w:left w:val="none" w:sz="0" w:space="0" w:color="auto"/>
            <w:bottom w:val="none" w:sz="0" w:space="0" w:color="auto"/>
            <w:right w:val="none" w:sz="0" w:space="0" w:color="auto"/>
          </w:divBdr>
        </w:div>
      </w:divsChild>
    </w:div>
    <w:div w:id="1322468648">
      <w:bodyDiv w:val="1"/>
      <w:marLeft w:val="0"/>
      <w:marRight w:val="0"/>
      <w:marTop w:val="0"/>
      <w:marBottom w:val="0"/>
      <w:divBdr>
        <w:top w:val="none" w:sz="0" w:space="0" w:color="auto"/>
        <w:left w:val="none" w:sz="0" w:space="0" w:color="auto"/>
        <w:bottom w:val="none" w:sz="0" w:space="0" w:color="auto"/>
        <w:right w:val="none" w:sz="0" w:space="0" w:color="auto"/>
      </w:divBdr>
    </w:div>
    <w:div w:id="1511068733">
      <w:bodyDiv w:val="1"/>
      <w:marLeft w:val="0"/>
      <w:marRight w:val="0"/>
      <w:marTop w:val="0"/>
      <w:marBottom w:val="0"/>
      <w:divBdr>
        <w:top w:val="none" w:sz="0" w:space="0" w:color="auto"/>
        <w:left w:val="none" w:sz="0" w:space="0" w:color="auto"/>
        <w:bottom w:val="none" w:sz="0" w:space="0" w:color="auto"/>
        <w:right w:val="none" w:sz="0" w:space="0" w:color="auto"/>
      </w:divBdr>
      <w:divsChild>
        <w:div w:id="1758137574">
          <w:marLeft w:val="0"/>
          <w:marRight w:val="0"/>
          <w:marTop w:val="0"/>
          <w:marBottom w:val="0"/>
          <w:divBdr>
            <w:top w:val="none" w:sz="0" w:space="0" w:color="auto"/>
            <w:left w:val="none" w:sz="0" w:space="0" w:color="auto"/>
            <w:bottom w:val="none" w:sz="0" w:space="0" w:color="auto"/>
            <w:right w:val="none" w:sz="0" w:space="0" w:color="auto"/>
          </w:divBdr>
          <w:divsChild>
            <w:div w:id="1965963417">
              <w:marLeft w:val="0"/>
              <w:marRight w:val="0"/>
              <w:marTop w:val="0"/>
              <w:marBottom w:val="0"/>
              <w:divBdr>
                <w:top w:val="none" w:sz="0" w:space="0" w:color="auto"/>
                <w:left w:val="none" w:sz="0" w:space="0" w:color="auto"/>
                <w:bottom w:val="none" w:sz="0" w:space="0" w:color="auto"/>
                <w:right w:val="none" w:sz="0" w:space="0" w:color="auto"/>
              </w:divBdr>
              <w:divsChild>
                <w:div w:id="8272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01035">
      <w:bodyDiv w:val="1"/>
      <w:marLeft w:val="0"/>
      <w:marRight w:val="0"/>
      <w:marTop w:val="0"/>
      <w:marBottom w:val="0"/>
      <w:divBdr>
        <w:top w:val="none" w:sz="0" w:space="0" w:color="auto"/>
        <w:left w:val="none" w:sz="0" w:space="0" w:color="auto"/>
        <w:bottom w:val="none" w:sz="0" w:space="0" w:color="auto"/>
        <w:right w:val="none" w:sz="0" w:space="0" w:color="auto"/>
      </w:divBdr>
      <w:divsChild>
        <w:div w:id="2147382589">
          <w:marLeft w:val="0"/>
          <w:marRight w:val="0"/>
          <w:marTop w:val="0"/>
          <w:marBottom w:val="0"/>
          <w:divBdr>
            <w:top w:val="none" w:sz="0" w:space="0" w:color="auto"/>
            <w:left w:val="none" w:sz="0" w:space="0" w:color="auto"/>
            <w:bottom w:val="none" w:sz="0" w:space="0" w:color="auto"/>
            <w:right w:val="none" w:sz="0" w:space="0" w:color="auto"/>
          </w:divBdr>
          <w:divsChild>
            <w:div w:id="293368093">
              <w:marLeft w:val="0"/>
              <w:marRight w:val="0"/>
              <w:marTop w:val="0"/>
              <w:marBottom w:val="0"/>
              <w:divBdr>
                <w:top w:val="none" w:sz="0" w:space="0" w:color="auto"/>
                <w:left w:val="none" w:sz="0" w:space="0" w:color="auto"/>
                <w:bottom w:val="none" w:sz="0" w:space="0" w:color="auto"/>
                <w:right w:val="none" w:sz="0" w:space="0" w:color="auto"/>
              </w:divBdr>
              <w:divsChild>
                <w:div w:id="1442139589">
                  <w:marLeft w:val="0"/>
                  <w:marRight w:val="0"/>
                  <w:marTop w:val="0"/>
                  <w:marBottom w:val="0"/>
                  <w:divBdr>
                    <w:top w:val="none" w:sz="0" w:space="0" w:color="auto"/>
                    <w:left w:val="none" w:sz="0" w:space="0" w:color="auto"/>
                    <w:bottom w:val="none" w:sz="0" w:space="0" w:color="auto"/>
                    <w:right w:val="none" w:sz="0" w:space="0" w:color="auto"/>
                  </w:divBdr>
                  <w:divsChild>
                    <w:div w:id="7518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19767">
      <w:bodyDiv w:val="1"/>
      <w:marLeft w:val="0"/>
      <w:marRight w:val="0"/>
      <w:marTop w:val="0"/>
      <w:marBottom w:val="0"/>
      <w:divBdr>
        <w:top w:val="none" w:sz="0" w:space="0" w:color="auto"/>
        <w:left w:val="none" w:sz="0" w:space="0" w:color="auto"/>
        <w:bottom w:val="none" w:sz="0" w:space="0" w:color="auto"/>
        <w:right w:val="none" w:sz="0" w:space="0" w:color="auto"/>
      </w:divBdr>
    </w:div>
    <w:div w:id="2002076792">
      <w:bodyDiv w:val="1"/>
      <w:marLeft w:val="0"/>
      <w:marRight w:val="0"/>
      <w:marTop w:val="0"/>
      <w:marBottom w:val="0"/>
      <w:divBdr>
        <w:top w:val="none" w:sz="0" w:space="0" w:color="auto"/>
        <w:left w:val="none" w:sz="0" w:space="0" w:color="auto"/>
        <w:bottom w:val="none" w:sz="0" w:space="0" w:color="auto"/>
        <w:right w:val="none" w:sz="0" w:space="0" w:color="auto"/>
      </w:divBdr>
      <w:divsChild>
        <w:div w:id="369454431">
          <w:marLeft w:val="547"/>
          <w:marRight w:val="0"/>
          <w:marTop w:val="140"/>
          <w:marBottom w:val="0"/>
          <w:divBdr>
            <w:top w:val="none" w:sz="0" w:space="0" w:color="auto"/>
            <w:left w:val="none" w:sz="0" w:space="0" w:color="auto"/>
            <w:bottom w:val="none" w:sz="0" w:space="0" w:color="auto"/>
            <w:right w:val="none" w:sz="0" w:space="0" w:color="auto"/>
          </w:divBdr>
        </w:div>
        <w:div w:id="607392414">
          <w:marLeft w:val="720"/>
          <w:marRight w:val="0"/>
          <w:marTop w:val="140"/>
          <w:marBottom w:val="0"/>
          <w:divBdr>
            <w:top w:val="none" w:sz="0" w:space="0" w:color="auto"/>
            <w:left w:val="none" w:sz="0" w:space="0" w:color="auto"/>
            <w:bottom w:val="none" w:sz="0" w:space="0" w:color="auto"/>
            <w:right w:val="none" w:sz="0" w:space="0" w:color="auto"/>
          </w:divBdr>
        </w:div>
        <w:div w:id="415517941">
          <w:marLeft w:val="547"/>
          <w:marRight w:val="0"/>
          <w:marTop w:val="140"/>
          <w:marBottom w:val="0"/>
          <w:divBdr>
            <w:top w:val="none" w:sz="0" w:space="0" w:color="auto"/>
            <w:left w:val="none" w:sz="0" w:space="0" w:color="auto"/>
            <w:bottom w:val="none" w:sz="0" w:space="0" w:color="auto"/>
            <w:right w:val="none" w:sz="0" w:space="0" w:color="auto"/>
          </w:divBdr>
        </w:div>
      </w:divsChild>
    </w:div>
    <w:div w:id="209474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legalaid.bravosolution.co.uk/esop/toolkit/initRegistration.do?_ncp=1506327155827.1087-2"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olicitors.lawsociety.org.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alaid.bravosolution.co.uk/web/login.shtml" TargetMode="External"/><Relationship Id="rId17" Type="http://schemas.openxmlformats.org/officeDocument/2006/relationships/hyperlink" Target="https://legalaid.bravosolution.co.uk/web/login.shtml" TargetMode="External"/><Relationship Id="rId25" Type="http://schemas.openxmlformats.org/officeDocument/2006/relationships/hyperlink" Target="https://www.gov.uk/government/publications/personal-guarantee-and-indemnit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legalaid.bravosolution.co.uk/web/docs/QG01%20Registration%20guide.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ov.uk/government/publications/standard-civil-contract-2018"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gov.uk/government/uploads/system/uploads/attachment_data/file/551130/List_of_Mandatory_and_Discretionary_Exclusions.pdf" TargetMode="External"/><Relationship Id="rId28" Type="http://schemas.openxmlformats.org/officeDocument/2006/relationships/hyperlink" Target="https://legalaid.bravosolution.co.uk/esop/common-host/public/browserenv/requirements.jsp" TargetMode="Externa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hyperlink" Target="http://www.legalaid.bravosolution.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hyperlink" Target="http://www.timeanddate.com/" TargetMode="External"/><Relationship Id="rId30" Type="http://schemas.openxmlformats.org/officeDocument/2006/relationships/hyperlink" Target="https://www.gov.uk/government/uploads/system/uploads/attachment_data/file/645817/2018-f2f-itt-information-for-applic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B53E-0E24-4A5C-877F-CB9E6764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8114</Words>
  <Characters>46256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Gilmore &amp; Avtar Bhatoa</dc:creator>
  <cp:keywords/>
  <dc:description/>
  <cp:lastModifiedBy>David Gilmore</cp:lastModifiedBy>
  <cp:revision>3</cp:revision>
  <cp:lastPrinted>2017-09-29T16:13:00Z</cp:lastPrinted>
  <dcterms:created xsi:type="dcterms:W3CDTF">2017-10-02T07:31:00Z</dcterms:created>
  <dcterms:modified xsi:type="dcterms:W3CDTF">2017-10-02T12:39:00Z</dcterms:modified>
</cp:coreProperties>
</file>